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Times New Roman" w:hAnsi="Times New Roman" w:cs="Times New Roman" w:eastAsia="Times New Roman"/>
          <w:b/>
          <w:i w:val="0"/>
          <w:color w:val="000000"/>
          <w:sz w:val="32"/>
        </w:rPr>
        <w:t>Un marco de evaluación para Natural Language Autoencoders</w:t>
      </w:r>
    </w:p>
    <w:p>
      <w:pPr>
        <w:spacing w:after="240" w:before="0" w:line="240" w:lineRule="auto"/>
        <w:jc w:val="center"/>
      </w:pPr>
      <w:r>
        <w:rPr>
          <w:rFonts w:ascii="Times New Roman" w:hAnsi="Times New Roman" w:cs="Times New Roman" w:eastAsia="Times New Roman"/>
          <w:b/>
          <w:i w:val="0"/>
          <w:color w:val="000000"/>
          <w:sz w:val="32"/>
        </w:rPr>
        <w:t>De la inspección puntual al experimento reproducible</w:t>
      </w:r>
    </w:p>
    <w:p>
      <w:pPr>
        <w:spacing w:after="0" w:before="0" w:line="240" w:lineRule="auto"/>
        <w:jc w:val="center"/>
      </w:pPr>
      <w:r>
        <w:rPr>
          <w:rFonts w:ascii="Times New Roman" w:hAnsi="Times New Roman" w:cs="Times New Roman" w:eastAsia="Times New Roman"/>
          <w:b/>
          <w:i w:val="0"/>
          <w:color w:val="000000"/>
          <w:sz w:val="28"/>
        </w:rPr>
        <w:t xml:space="preserve"> </w:t>
      </w:r>
    </w:p>
    <w:p>
      <w:pPr>
        <w:spacing w:after="120" w:before="0" w:line="240" w:lineRule="auto"/>
        <w:jc w:val="center"/>
      </w:pPr>
      <w:r>
        <w:rPr>
          <w:rFonts w:ascii="Times New Roman" w:hAnsi="Times New Roman" w:cs="Times New Roman" w:eastAsia="Times New Roman"/>
          <w:b/>
          <w:i/>
          <w:color w:val="000000"/>
          <w:sz w:val="24"/>
        </w:rPr>
        <w:t>Universidad Tecnológica Nacional, [Unidad académica a completar]</w:t>
      </w:r>
    </w:p>
    <w:p>
      <w:pPr>
        <w:spacing w:after="200" w:before="0" w:line="240" w:lineRule="auto"/>
        <w:jc w:val="both"/>
      </w:pPr>
      <w:r>
        <w:rPr>
          <w:rFonts w:ascii="Times New Roman" w:hAnsi="Times New Roman" w:cs="Times New Roman" w:eastAsia="Times New Roman"/>
          <w:b w:val="0"/>
          <w:i/>
          <w:color w:val="000000"/>
          <w:sz w:val="20"/>
        </w:rPr>
        <w:t>Nota. La versión para evaluación debe ser ciega. La sección Autores se deja en blanco y se completa solo en camera ready si el trabajo es aceptado.</w:t>
      </w:r>
    </w:p>
    <w:p>
      <w:pPr>
        <w:sectPr>
          <w:pgSz w:w="11907" w:h="16840"/>
          <w:pgMar w:top="1418" w:right="1418" w:bottom="1418" w:left="1418" w:header="0" w:footer="0" w:gutter="0"/>
          <w:docGrid w:linePitch="360"/>
          <w:pgNumType w:fmt="none"/>
        </w:sectPr>
      </w:pPr>
    </w:p>
    <w:p>
      <w:pPr>
        <w:spacing w:after="120" w:before="200" w:line="240" w:lineRule="auto"/>
        <w:jc w:val="left"/>
      </w:pPr>
      <w:r>
        <w:rPr>
          <w:rFonts w:ascii="Times New Roman" w:hAnsi="Times New Roman" w:cs="Times New Roman" w:eastAsia="Times New Roman"/>
          <w:b/>
          <w:i w:val="0"/>
          <w:color w:val="000000"/>
          <w:sz w:val="20"/>
        </w:rPr>
        <w:t>Abstract</w:t>
      </w:r>
    </w:p>
    <w:p>
      <w:pPr>
        <w:spacing w:after="160" w:before="0" w:line="240" w:lineRule="auto"/>
        <w:jc w:val="both"/>
      </w:pPr>
      <w:r>
        <w:rPr>
          <w:rFonts w:ascii="Times New Roman" w:hAnsi="Times New Roman" w:cs="Times New Roman" w:eastAsia="Times New Roman"/>
          <w:b w:val="0"/>
          <w:i/>
          <w:color w:val="000000"/>
          <w:sz w:val="20"/>
        </w:rPr>
        <w:t>El presente trabajo busca un primer acercamiento a la evaluación sistemática de verbalizaciones de activación producidas por Natural Language Autoencoders (NLA). Un NLA comprime el vector de activación de un modelo de lenguaje en un texto breve y reconstruye ese vector a partir del texto. Ese texto, llamado Activation Verbalizer (AV), es un señalizador interpretable, no una lectura literal de las creencias del modelo. Las plataformas actuales, en particular Neuronpedia, permiten inspeccionar un chat y un token a la vez. No ofrecen un ciclo de experimento comparable al que LangSmith formalizó para las salidas de aplicaciones con inteligencia artificial. Anthropic ya aplica un LLM como juez sobre AVs en un estudio de awareness de evaluación, pero ese juez vive dentro de un paper, no como herramienta reutilizable sobre NLA públicos. Se propone NLA Eval, un marco y un prototipo que orquesta datasets de prompts, una política de tokens, llamadas a la API de Neuronpedia, evaluadores configurables (léxico y LLM-as-judge) y una vista de comparación de corridas. El objeto evaluado es el AV en una posición de token, no la respuesta pública del modelo. La validación empírica a escala y el acuerdo humano-juez sobre un corpus etiquetado se plantean como trabajo inmediato.</w:t>
      </w:r>
    </w:p>
    <w:p>
      <w:pPr>
        <w:spacing w:after="120" w:before="200" w:line="240" w:lineRule="auto"/>
        <w:jc w:val="left"/>
      </w:pPr>
      <w:r>
        <w:rPr>
          <w:rFonts w:ascii="Times New Roman" w:hAnsi="Times New Roman" w:cs="Times New Roman" w:eastAsia="Times New Roman"/>
          <w:b/>
          <w:i w:val="0"/>
          <w:color w:val="000000"/>
          <w:sz w:val="20"/>
        </w:rPr>
        <w:t>Palabras Clave</w:t>
      </w:r>
    </w:p>
    <w:p>
      <w:pPr>
        <w:spacing w:after="240" w:before="0" w:line="240" w:lineRule="auto"/>
        <w:jc w:val="left"/>
      </w:pPr>
      <w:r>
        <w:rPr>
          <w:rFonts w:ascii="Times New Roman" w:hAnsi="Times New Roman" w:cs="Times New Roman" w:eastAsia="Times New Roman"/>
          <w:b w:val="0"/>
          <w:i w:val="0"/>
          <w:color w:val="000000"/>
          <w:sz w:val="20"/>
        </w:rPr>
        <w:t>Natural Language Autoencoders, interpretabilidad, LLM-as-judge, Neuronpedia, evaluación de modelos de lenguaje</w:t>
      </w:r>
    </w:p>
    <w:p>
      <w:pPr>
        <w:spacing w:after="120" w:before="200" w:line="240" w:lineRule="auto"/>
        <w:jc w:val="left"/>
      </w:pPr>
      <w:r>
        <w:rPr>
          <w:rFonts w:ascii="Times New Roman" w:hAnsi="Times New Roman" w:cs="Times New Roman" w:eastAsia="Times New Roman"/>
          <w:b/>
          <w:i w:val="0"/>
          <w:color w:val="000000"/>
          <w:sz w:val="24"/>
        </w:rPr>
        <w:t>1. Introducción</w:t>
      </w:r>
    </w:p>
    <w:p>
      <w:pPr>
        <w:spacing w:after="120" w:before="0" w:line="240" w:lineRule="auto"/>
        <w:jc w:val="both"/>
      </w:pPr>
      <w:r>
        <w:rPr>
          <w:rFonts w:ascii="Times New Roman" w:hAnsi="Times New Roman" w:cs="Times New Roman" w:eastAsia="Times New Roman"/>
          <w:b w:val="0"/>
          <w:i w:val="0"/>
          <w:color w:val="000000"/>
          <w:sz w:val="24"/>
        </w:rPr>
        <w:t>Los modelos de lenguaje de gran escala (LLM) se evalúan, en la práctica industrial, sobre lo que dicen. Suites de prompts, métricas y jueces automáticos comparan respuestas, costos y tasas de error. Ese enfoque alcanza cuando el objeto de interés es la salida. Quiebra cuando el fenómeno vive en las activaciones internas y no aparece en el texto que el usuario lee.</w:t>
      </w:r>
    </w:p>
    <w:p>
      <w:pPr>
        <w:spacing w:after="120" w:before="0" w:line="240" w:lineRule="auto"/>
        <w:jc w:val="both"/>
      </w:pPr>
      <w:r>
        <w:rPr>
          <w:rFonts w:ascii="Times New Roman" w:hAnsi="Times New Roman" w:cs="Times New Roman" w:eastAsia="Times New Roman"/>
          <w:b w:val="0"/>
          <w:i w:val="0"/>
          <w:color w:val="000000"/>
          <w:sz w:val="24"/>
        </w:rPr>
        <w:t>Los Natural Language Autoencoders, introducidos por Fraser-Taliente y colaboradores en Transformer Circuits [1], atacan exactamente ese hueco. Un NLA es un autoencoder cuyo cuello de botella es texto en lenguaje natural. El Activation Verbalizer produce una verbalización. El Activation Reconstructor intenta recuperar el vector. El error de reconstrucción (MSE o RMSE) indica cuán leíble es esa verbalización, no si una frase aislada es verdadera.</w:t>
      </w:r>
    </w:p>
    <w:p>
      <w:pPr>
        <w:spacing w:after="120" w:before="0" w:line="240" w:lineRule="auto"/>
        <w:jc w:val="both"/>
      </w:pPr>
      <w:r>
        <w:rPr>
          <w:rFonts w:ascii="Times New Roman" w:hAnsi="Times New Roman" w:cs="Times New Roman" w:eastAsia="Times New Roman"/>
          <w:b w:val="0"/>
          <w:i w:val="0"/>
          <w:color w:val="000000"/>
          <w:sz w:val="24"/>
        </w:rPr>
        <w:t>Neuronpedia, en colaboración con Anthropic, hostea checkpoints públicos (por ejemplo Llama 3.3 70B con kitft-l53 y Gemma 3 27B con kitft-l41) y una API de completion y explain [2]. El producto es un microscopio. Un prompt, un modelo, una pestaña. Quien investiga un tema (un prior de foro, un riesgo, una awareness de evaluación) termina exportando capturas, eligiendo a mano el último token del usuario y el primero del asistente, y pegando verbalizaciones en otro chat para que un LLM encuentre el patrón. Ese flujo no es un experimento. Es artesanía.</w:t>
      </w:r>
    </w:p>
    <w:p>
      <w:pPr>
        <w:spacing w:after="120" w:before="0" w:line="240" w:lineRule="auto"/>
        <w:jc w:val="both"/>
      </w:pPr>
      <w:r>
        <w:rPr>
          <w:rFonts w:ascii="Times New Roman" w:hAnsi="Times New Roman" w:cs="Times New Roman" w:eastAsia="Times New Roman"/>
          <w:b w:val="0"/>
          <w:i w:val="0"/>
          <w:color w:val="000000"/>
          <w:sz w:val="24"/>
        </w:rPr>
        <w:t>En paralelo, el testing de aplicaciones no deterministas con IA ya tiene un marco de producto. LangSmith trata datasets, corridas, evaluadores (código o LLM-as-judge) y gráficos de comparación entre versiones de un flujo [3]. El objeto sigue siendo la salida de la aplicación.</w:t>
      </w:r>
    </w:p>
    <w:p>
      <w:pPr>
        <w:spacing w:after="120" w:before="0" w:line="240" w:lineRule="auto"/>
        <w:jc w:val="both"/>
      </w:pPr>
      <w:r>
        <w:rPr>
          <w:rFonts w:ascii="Times New Roman" w:hAnsi="Times New Roman" w:cs="Times New Roman" w:eastAsia="Times New Roman"/>
          <w:b w:val="0"/>
          <w:i w:val="0"/>
          <w:color w:val="000000"/>
          <w:sz w:val="24"/>
        </w:rPr>
        <w:t>El presente trabajo propone el análogo para NLA. No se inventa el LLM-as-judge sobre verbalizaciones. Anthropic lo usó para marcar awareness de evaluación no verbalizada, con un grader sobre 50 tokens de respuesta y un 97 % de acuerdo con los autores en 186 ítems [1]. Se cambia el objeto evaluado y se formaliza el ciclo que hoy falta en las herramientas abiertas. El resto del artículo se organiza así. La Sección 2 formula las motivaciones. La Sección 3 resume el modelo conceptual. La Sección 4 describe la arquitectura, que es el aporte central. La Sección 5 describe el prototipo. La Sección 6 diseña la validación. La Sección 7 discute limitaciones. La Sección 8 concluye.</w:t>
      </w:r>
    </w:p>
    <w:p>
      <w:pPr>
        <w:spacing w:after="120" w:before="200" w:line="240" w:lineRule="auto"/>
        <w:jc w:val="left"/>
      </w:pPr>
      <w:r>
        <w:rPr>
          <w:rFonts w:ascii="Times New Roman" w:hAnsi="Times New Roman" w:cs="Times New Roman" w:eastAsia="Times New Roman"/>
          <w:b/>
          <w:i w:val="0"/>
          <w:color w:val="000000"/>
          <w:sz w:val="24"/>
        </w:rPr>
        <w:t>2. Motivaciones</w:t>
      </w:r>
    </w:p>
    <w:p>
      <w:pPr>
        <w:spacing w:after="120" w:before="0" w:line="240" w:lineRule="auto"/>
        <w:jc w:val="both"/>
      </w:pPr>
      <w:r>
        <w:rPr>
          <w:rFonts w:ascii="Times New Roman" w:hAnsi="Times New Roman" w:cs="Times New Roman" w:eastAsia="Times New Roman"/>
          <w:b w:val="0"/>
          <w:i w:val="0"/>
          <w:color w:val="000000"/>
          <w:sz w:val="24"/>
        </w:rPr>
        <w:t>Tres tensiones justifican el marco. Primero, el no determinismo. Un test clásico de API afirma que, dado un input, el output es uno. Un NLA, como el LLM que explica, no se presta a esa igualdad. Hace falta una política fija de tokens, un juez con rúbrica, y tasas a lo largo de un dataset, no una captura. Segundo, la escala. El límite de explain de Neuronpedia (del orden de 16 posiciones por pedido y un tope horario) convierte cada comparación Llama frente a Gemma en un trabajo de scripts y JSON. Sin un orquestador, el investigador elige el token interesante en cada corrida y destruye la comparabilidad. Tercero, el vacío de producto. LangSmith no conoce capas, residuos ni MSE. Neuronpedia no conoce datasets, claves de feedback ni gráficos de hit rate. EasyNLA incluye jueces de unicidad o coherencia mientras se entrena un NLA [1]. Ese es otro trabajo. No puntúa hipótesis experimentales sobre AVs ya desplegados.</w:t>
      </w:r>
    </w:p>
    <w:p>
      <w:pPr>
        <w:spacing w:after="120" w:before="0" w:line="240" w:lineRule="auto"/>
        <w:jc w:val="both"/>
      </w:pPr>
      <w:r>
        <w:rPr>
          <w:rFonts w:ascii="Times New Roman" w:hAnsi="Times New Roman" w:cs="Times New Roman" w:eastAsia="Times New Roman"/>
          <w:b w:val="0"/>
          <w:i w:val="0"/>
          <w:color w:val="000000"/>
          <w:sz w:val="24"/>
        </w:rPr>
        <w:t>El motivo, en una frase, es este. Fomentar investigación sobre NLA, no el entrenamiento de NLA nuevos, sistematizando lo que hoy se hace a mano con capturas y un chat.</w:t>
      </w:r>
    </w:p>
    <w:p>
      <w:pPr>
        <w:spacing w:after="120" w:before="200" w:line="240" w:lineRule="auto"/>
        <w:jc w:val="left"/>
      </w:pPr>
      <w:r>
        <w:rPr>
          <w:rFonts w:ascii="Times New Roman" w:hAnsi="Times New Roman" w:cs="Times New Roman" w:eastAsia="Times New Roman"/>
          <w:b/>
          <w:i w:val="0"/>
          <w:color w:val="000000"/>
          <w:sz w:val="24"/>
        </w:rPr>
        <w:t>3. Modelo conceptual</w:t>
      </w:r>
    </w:p>
    <w:p>
      <w:pPr>
        <w:spacing w:after="120" w:before="0" w:line="240" w:lineRule="auto"/>
        <w:jc w:val="both"/>
      </w:pPr>
      <w:r>
        <w:rPr>
          <w:rFonts w:ascii="Times New Roman" w:hAnsi="Times New Roman" w:cs="Times New Roman" w:eastAsia="Times New Roman"/>
          <w:b w:val="0"/>
          <w:i w:val="0"/>
          <w:color w:val="000000"/>
          <w:sz w:val="24"/>
        </w:rPr>
        <w:t>El marco distingue cuatro objetos, en analogía deliberada con LangSmith. La Tabla 1 resume el mapeo.</w:t>
      </w:r>
    </w:p>
    <w:p>
      <w:pPr>
        <w:spacing w:after="160" w:before="160" w:line="240" w:lineRule="auto"/>
        <w:jc w:val="center"/>
      </w:pPr>
      <w:r>
        <w:rPr>
          <w:rFonts w:ascii="Times New Roman" w:hAnsi="Times New Roman" w:cs="Times New Roman" w:eastAsia="Times New Roman"/>
          <w:b w:val="0"/>
          <w:i/>
          <w:color w:val="000000"/>
          <w:sz w:val="20"/>
        </w:rPr>
        <w:t>Tabla 1. Mapeo de objetos entre LangSmith y NLA Eval.</w:t>
      </w:r>
    </w:p>
    <w:tbl>
      <w:tblPr>
        <w:tblStyle w:val="TableGrid"/>
        <w:tblW w:type="auto" w:w="0"/>
        <w:jc w:val="center"/>
        <w:tblLook w:firstColumn="1" w:firstRow="1" w:lastColumn="0" w:lastRow="0" w:noHBand="0" w:noVBand="1" w:val="04A0"/>
      </w:tblPr>
      <w:tblGrid>
        <w:gridCol w:w="4535"/>
        <w:gridCol w:w="4535"/>
      </w:tblGrid>
      <w:tr>
        <w:tc>
          <w:tcPr>
            <w:tcW w:type="dxa" w:w="4535"/>
            <w:shd w:fill="E8E8E8" w:val="clear"/>
          </w:tcPr>
          <w:p>
            <w:r/>
            <w:r>
              <w:rPr>
                <w:rFonts w:ascii="Times New Roman" w:hAnsi="Times New Roman" w:cs="Times New Roman" w:eastAsia="Times New Roman"/>
                <w:b/>
                <w:i w:val="0"/>
                <w:color w:val="000000"/>
                <w:sz w:val="18"/>
              </w:rPr>
              <w:t>LangSmith</w:t>
            </w:r>
          </w:p>
        </w:tc>
        <w:tc>
          <w:tcPr>
            <w:tcW w:type="dxa" w:w="4535"/>
            <w:shd w:fill="E8E8E8" w:val="clear"/>
          </w:tcPr>
          <w:p>
            <w:r/>
            <w:r>
              <w:rPr>
                <w:rFonts w:ascii="Times New Roman" w:hAnsi="Times New Roman" w:cs="Times New Roman" w:eastAsia="Times New Roman"/>
                <w:b/>
                <w:i w:val="0"/>
                <w:color w:val="000000"/>
                <w:sz w:val="18"/>
              </w:rPr>
              <w:t>NLA Eval</w:t>
            </w:r>
          </w:p>
        </w:tc>
      </w:tr>
      <w:tr>
        <w:tc>
          <w:tcPr>
            <w:tcW w:type="dxa" w:w="4535"/>
          </w:tcPr>
          <w:p>
            <w:r/>
            <w:r>
              <w:rPr>
                <w:rFonts w:ascii="Times New Roman" w:hAnsi="Times New Roman" w:cs="Times New Roman" w:eastAsia="Times New Roman"/>
                <w:b w:val="0"/>
                <w:i w:val="0"/>
                <w:color w:val="000000"/>
                <w:sz w:val="16"/>
              </w:rPr>
              <w:t>Dataset de prompts</w:t>
            </w:r>
          </w:p>
        </w:tc>
        <w:tc>
          <w:tcPr>
            <w:tcW w:type="dxa" w:w="4535"/>
          </w:tcPr>
          <w:p>
            <w:r/>
            <w:r>
              <w:rPr>
                <w:rFonts w:ascii="Times New Roman" w:hAnsi="Times New Roman" w:cs="Times New Roman" w:eastAsia="Times New Roman"/>
                <w:b w:val="0"/>
                <w:i w:val="0"/>
                <w:color w:val="000000"/>
                <w:sz w:val="16"/>
              </w:rPr>
              <w:t>Igual. Prompt y, opcional, referencia</w:t>
            </w:r>
          </w:p>
        </w:tc>
      </w:tr>
      <w:tr>
        <w:tc>
          <w:tcPr>
            <w:tcW w:type="dxa" w:w="4535"/>
          </w:tcPr>
          <w:p>
            <w:r/>
            <w:r>
              <w:rPr>
                <w:rFonts w:ascii="Times New Roman" w:hAnsi="Times New Roman" w:cs="Times New Roman" w:eastAsia="Times New Roman"/>
                <w:b w:val="0"/>
                <w:i w:val="0"/>
                <w:color w:val="000000"/>
                <w:sz w:val="16"/>
              </w:rPr>
              <w:t>Target = aplicación</w:t>
            </w:r>
          </w:p>
        </w:tc>
        <w:tc>
          <w:tcPr>
            <w:tcW w:type="dxa" w:w="4535"/>
          </w:tcPr>
          <w:p>
            <w:r/>
            <w:r>
              <w:rPr>
                <w:rFonts w:ascii="Times New Roman" w:hAnsi="Times New Roman" w:cs="Times New Roman" w:eastAsia="Times New Roman"/>
                <w:b w:val="0"/>
                <w:i w:val="0"/>
                <w:color w:val="000000"/>
                <w:sz w:val="16"/>
              </w:rPr>
              <w:t>completion + explain bajo política de tokens</w:t>
            </w:r>
          </w:p>
        </w:tc>
      </w:tr>
      <w:tr>
        <w:tc>
          <w:tcPr>
            <w:tcW w:type="dxa" w:w="4535"/>
          </w:tcPr>
          <w:p>
            <w:r/>
            <w:r>
              <w:rPr>
                <w:rFonts w:ascii="Times New Roman" w:hAnsi="Times New Roman" w:cs="Times New Roman" w:eastAsia="Times New Roman"/>
                <w:b w:val="0"/>
                <w:i w:val="0"/>
                <w:color w:val="000000"/>
                <w:sz w:val="16"/>
              </w:rPr>
              <w:t>Output de texto</w:t>
            </w:r>
          </w:p>
        </w:tc>
        <w:tc>
          <w:tcPr>
            <w:tcW w:type="dxa" w:w="4535"/>
          </w:tcPr>
          <w:p>
            <w:r/>
            <w:r>
              <w:rPr>
                <w:rFonts w:ascii="Times New Roman" w:hAnsi="Times New Roman" w:cs="Times New Roman" w:eastAsia="Times New Roman"/>
                <w:b w:val="0"/>
                <w:i w:val="0"/>
                <w:color w:val="000000"/>
                <w:sz w:val="16"/>
              </w:rPr>
              <w:t>Artefacto completion, AVs, mse, token</w:t>
            </w:r>
          </w:p>
        </w:tc>
      </w:tr>
      <w:tr>
        <w:tc>
          <w:tcPr>
            <w:tcW w:type="dxa" w:w="4535"/>
          </w:tcPr>
          <w:p>
            <w:r/>
            <w:r>
              <w:rPr>
                <w:rFonts w:ascii="Times New Roman" w:hAnsi="Times New Roman" w:cs="Times New Roman" w:eastAsia="Times New Roman"/>
                <w:b w:val="0"/>
                <w:i w:val="0"/>
                <w:color w:val="000000"/>
                <w:sz w:val="16"/>
              </w:rPr>
              <w:t>Claves de feedback</w:t>
            </w:r>
          </w:p>
        </w:tc>
        <w:tc>
          <w:tcPr>
            <w:tcW w:type="dxa" w:w="4535"/>
          </w:tcPr>
          <w:p>
            <w:r/>
            <w:r>
              <w:rPr>
                <w:rFonts w:ascii="Times New Roman" w:hAnsi="Times New Roman" w:cs="Times New Roman" w:eastAsia="Times New Roman"/>
                <w:b w:val="0"/>
                <w:i w:val="0"/>
                <w:color w:val="000000"/>
                <w:sz w:val="16"/>
              </w:rPr>
              <w:t>Boolean, score o categoría</w:t>
            </w:r>
          </w:p>
        </w:tc>
      </w:tr>
      <w:tr>
        <w:tc>
          <w:tcPr>
            <w:tcW w:type="dxa" w:w="4535"/>
          </w:tcPr>
          <w:p>
            <w:r/>
            <w:r>
              <w:rPr>
                <w:rFonts w:ascii="Times New Roman" w:hAnsi="Times New Roman" w:cs="Times New Roman" w:eastAsia="Times New Roman"/>
                <w:b w:val="0"/>
                <w:i w:val="0"/>
                <w:color w:val="000000"/>
                <w:sz w:val="16"/>
              </w:rPr>
              <w:t>Comparar experimentos</w:t>
            </w:r>
          </w:p>
        </w:tc>
        <w:tc>
          <w:tcPr>
            <w:tcW w:type="dxa" w:w="4535"/>
          </w:tcPr>
          <w:p>
            <w:r/>
            <w:r>
              <w:rPr>
                <w:rFonts w:ascii="Times New Roman" w:hAnsi="Times New Roman" w:cs="Times New Roman" w:eastAsia="Times New Roman"/>
                <w:b w:val="0"/>
                <w:i w:val="0"/>
                <w:color w:val="000000"/>
                <w:sz w:val="16"/>
              </w:rPr>
              <w:t>Dos corridas sobre el mismo dataset</w:t>
            </w:r>
          </w:p>
        </w:tc>
      </w:tr>
    </w:tbl>
    <w:p>
      <w:pPr>
        <w:spacing w:after="120" w:before="0" w:line="240" w:lineRule="auto"/>
        <w:jc w:val="both"/>
      </w:pPr>
      <w:r>
        <w:rPr>
          <w:rFonts w:ascii="Times New Roman" w:hAnsi="Times New Roman" w:cs="Times New Roman" w:eastAsia="Times New Roman"/>
          <w:b w:val="0"/>
          <w:i w:val="0"/>
          <w:color w:val="000000"/>
          <w:sz w:val="24"/>
        </w:rPr>
        <w:t>Una política de tokens, por defecto, replica el gesto que ya se usa en el laboratorio. Último token de contenido del mensaje de usuario. Primer token de la respuesta del asistente. El investigador puede elegir una, la otra, o ambas. El MSE actúa como compuerta. Un AV con error alto no se lee como evidencia. Se reporta como verbalización poco reconstruible.</w:t>
      </w:r>
    </w:p>
    <w:p>
      <w:pPr>
        <w:spacing w:after="120" w:before="0" w:line="240" w:lineRule="auto"/>
        <w:jc w:val="both"/>
      </w:pPr>
      <w:r>
        <w:rPr>
          <w:rFonts w:ascii="Times New Roman" w:hAnsi="Times New Roman" w:cs="Times New Roman" w:eastAsia="Times New Roman"/>
          <w:b w:val="0"/>
          <w:i w:val="0"/>
          <w:color w:val="000000"/>
          <w:sz w:val="24"/>
        </w:rPr>
        <w:t>El juez no puntúa la creencia del modelo. Produce una señal interpretable. Si la rúbrica pide tema de foro o comunidad, un true no prueba que el preentrenamiento sea Reddit. Apoya una hipótesis que el output solo no mostraba, a validar con más tests [1].</w:t>
      </w:r>
    </w:p>
    <w:p>
      <w:pPr>
        <w:spacing w:after="120" w:before="200" w:line="240" w:lineRule="auto"/>
        <w:jc w:val="left"/>
      </w:pPr>
      <w:r>
        <w:rPr>
          <w:rFonts w:ascii="Times New Roman" w:hAnsi="Times New Roman" w:cs="Times New Roman" w:eastAsia="Times New Roman"/>
          <w:b/>
          <w:i w:val="0"/>
          <w:color w:val="000000"/>
          <w:sz w:val="24"/>
        </w:rPr>
        <w:t>3.1 Tipos de evaluador</w:t>
      </w:r>
    </w:p>
    <w:p>
      <w:pPr>
        <w:spacing w:after="120" w:before="0" w:line="240" w:lineRule="auto"/>
        <w:jc w:val="both"/>
      </w:pPr>
      <w:r>
        <w:rPr>
          <w:rFonts w:ascii="Times New Roman" w:hAnsi="Times New Roman" w:cs="Times New Roman" w:eastAsia="Times New Roman"/>
          <w:b w:val="0"/>
          <w:i w:val="0"/>
          <w:color w:val="000000"/>
          <w:sz w:val="24"/>
        </w:rPr>
        <w:t>Léxico o código. Subcadena (reddit, forum). Barato y honesto. No captura tema. LLM-as-judge, sin referencia. Rúbrica Mustache sobre el AV. Boolean, score o categoría, más un campo opcional de razonamiento. Omisión, específico de NLA. El tema está en el AV y no en la completion. Es el análogo del awareness verbalizado frente al medido por NLA en [1]. LangSmith no tiene este tipo como objeto de primer orden. Un evaluador pairwise (cuál de dos AVs se prefiere) queda especificado en el diseño y no es el núcleo del prototipo actual.</w:t>
      </w:r>
    </w:p>
    <w:p>
      <w:pPr>
        <w:spacing w:after="120" w:before="200" w:line="240" w:lineRule="auto"/>
        <w:jc w:val="left"/>
      </w:pPr>
      <w:r>
        <w:rPr>
          <w:rFonts w:ascii="Times New Roman" w:hAnsi="Times New Roman" w:cs="Times New Roman" w:eastAsia="Times New Roman"/>
          <w:b/>
          <w:i w:val="0"/>
          <w:color w:val="000000"/>
          <w:sz w:val="24"/>
        </w:rPr>
        <w:t>4. Arquitectura</w:t>
      </w:r>
    </w:p>
    <w:p>
      <w:pPr>
        <w:spacing w:after="120" w:before="0" w:line="240" w:lineRule="auto"/>
        <w:jc w:val="both"/>
      </w:pPr>
      <w:r>
        <w:rPr>
          <w:rFonts w:ascii="Times New Roman" w:hAnsi="Times New Roman" w:cs="Times New Roman" w:eastAsia="Times New Roman"/>
          <w:b w:val="0"/>
          <w:i w:val="0"/>
          <w:color w:val="000000"/>
          <w:sz w:val="24"/>
        </w:rPr>
        <w:t>NLA Eval no entrena NLA. Orquesta APIs. La Figura 1 describe el ciclo de una fila. El dataset aporta el example (input). El run produce la completion y las verbalizaciones en las posiciones elegidas. El evaluador consume input, AV de entrada, AV de salida y, si hace falta, la completion, y calcula métricas.</w:t>
      </w:r>
    </w:p>
    <w:p>
      <w:pPr>
        <w:spacing w:after="160" w:before="160" w:line="240" w:lineRule="auto"/>
        <w:jc w:val="center"/>
      </w:pPr>
      <w:r>
        <w:rPr>
          <w:rFonts w:ascii="Times New Roman" w:hAnsi="Times New Roman" w:cs="Times New Roman" w:eastAsia="Times New Roman"/>
          <w:b w:val="0"/>
          <w:i/>
          <w:color w:val="000000"/>
          <w:sz w:val="20"/>
        </w:rPr>
        <w:t>Figura 1. El evaluador compara el ejemplo del dataset con las verbalizaciones NLA del token de entrada y del token de salida, no solo input contra output de la aplicación.</w:t>
      </w:r>
    </w:p>
    <w:tbl>
      <w:tblPr>
        <w:tblStyle w:val="TableGrid"/>
        <w:tblW w:type="auto" w:w="0"/>
        <w:jc w:val="center"/>
        <w:tblLook w:firstColumn="1" w:firstRow="1" w:lastColumn="0" w:lastRow="0" w:noHBand="0" w:noVBand="1" w:val="04A0"/>
      </w:tblPr>
      <w:tblGrid>
        <w:gridCol w:w="4535"/>
        <w:gridCol w:w="4535"/>
      </w:tblGrid>
      <w:tr>
        <w:tc>
          <w:tcPr>
            <w:tcW w:type="dxa" w:w="4535"/>
            <w:shd w:fill="E8E8E8" w:val="clear"/>
          </w:tcPr>
          <w:p>
            <w:r/>
            <w:r>
              <w:rPr>
                <w:rFonts w:ascii="Times New Roman" w:hAnsi="Times New Roman" w:cs="Times New Roman" w:eastAsia="Times New Roman"/>
                <w:b/>
                <w:i w:val="0"/>
                <w:color w:val="000000"/>
                <w:sz w:val="18"/>
              </w:rPr>
              <w:t>Bloque</w:t>
            </w:r>
          </w:p>
        </w:tc>
        <w:tc>
          <w:tcPr>
            <w:tcW w:type="dxa" w:w="4535"/>
            <w:shd w:fill="E8E8E8" w:val="clear"/>
          </w:tcPr>
          <w:p>
            <w:r/>
            <w:r>
              <w:rPr>
                <w:rFonts w:ascii="Times New Roman" w:hAnsi="Times New Roman" w:cs="Times New Roman" w:eastAsia="Times New Roman"/>
                <w:b/>
                <w:i w:val="0"/>
                <w:color w:val="000000"/>
                <w:sz w:val="18"/>
              </w:rPr>
              <w:t>Rol</w:t>
            </w:r>
          </w:p>
        </w:tc>
      </w:tr>
      <w:tr>
        <w:tc>
          <w:tcPr>
            <w:tcW w:type="dxa" w:w="4535"/>
          </w:tcPr>
          <w:p>
            <w:r/>
            <w:r>
              <w:rPr>
                <w:rFonts w:ascii="Times New Roman" w:hAnsi="Times New Roman" w:cs="Times New Roman" w:eastAsia="Times New Roman"/>
                <w:b w:val="0"/>
                <w:i w:val="0"/>
                <w:color w:val="000000"/>
                <w:sz w:val="16"/>
              </w:rPr>
              <w:t>Example</w:t>
            </w:r>
          </w:p>
        </w:tc>
        <w:tc>
          <w:tcPr>
            <w:tcW w:type="dxa" w:w="4535"/>
          </w:tcPr>
          <w:p>
            <w:r/>
            <w:r>
              <w:rPr>
                <w:rFonts w:ascii="Times New Roman" w:hAnsi="Times New Roman" w:cs="Times New Roman" w:eastAsia="Times New Roman"/>
                <w:b w:val="0"/>
                <w:i w:val="0"/>
                <w:color w:val="000000"/>
                <w:sz w:val="16"/>
              </w:rPr>
              <w:t>Input = prompt del dataset</w:t>
            </w:r>
          </w:p>
        </w:tc>
      </w:tr>
      <w:tr>
        <w:tc>
          <w:tcPr>
            <w:tcW w:type="dxa" w:w="4535"/>
          </w:tcPr>
          <w:p>
            <w:r/>
            <w:r>
              <w:rPr>
                <w:rFonts w:ascii="Times New Roman" w:hAnsi="Times New Roman" w:cs="Times New Roman" w:eastAsia="Times New Roman"/>
                <w:b w:val="0"/>
                <w:i w:val="0"/>
                <w:color w:val="000000"/>
                <w:sz w:val="16"/>
              </w:rPr>
              <w:t>Run</w:t>
            </w:r>
          </w:p>
        </w:tc>
        <w:tc>
          <w:tcPr>
            <w:tcW w:type="dxa" w:w="4535"/>
          </w:tcPr>
          <w:p>
            <w:r/>
            <w:r>
              <w:rPr>
                <w:rFonts w:ascii="Times New Roman" w:hAnsi="Times New Roman" w:cs="Times New Roman" w:eastAsia="Times New Roman"/>
                <w:b w:val="0"/>
                <w:i w:val="0"/>
                <w:color w:val="000000"/>
                <w:sz w:val="16"/>
              </w:rPr>
              <w:t>Modelo + NLA. Output = completion</w:t>
            </w:r>
          </w:p>
        </w:tc>
      </w:tr>
      <w:tr>
        <w:tc>
          <w:tcPr>
            <w:tcW w:type="dxa" w:w="4535"/>
          </w:tcPr>
          <w:p>
            <w:r/>
            <w:r>
              <w:rPr>
                <w:rFonts w:ascii="Times New Roman" w:hAnsi="Times New Roman" w:cs="Times New Roman" w:eastAsia="Times New Roman"/>
                <w:b w:val="0"/>
                <w:i w:val="0"/>
                <w:color w:val="000000"/>
                <w:sz w:val="16"/>
              </w:rPr>
              <w:t>NLA usuario</w:t>
            </w:r>
          </w:p>
        </w:tc>
        <w:tc>
          <w:tcPr>
            <w:tcW w:type="dxa" w:w="4535"/>
          </w:tcPr>
          <w:p>
            <w:r/>
            <w:r>
              <w:rPr>
                <w:rFonts w:ascii="Times New Roman" w:hAnsi="Times New Roman" w:cs="Times New Roman" w:eastAsia="Times New Roman"/>
                <w:b w:val="0"/>
                <w:i w:val="0"/>
                <w:color w:val="000000"/>
                <w:sz w:val="16"/>
              </w:rPr>
              <w:t>Verbalización del último token de contenido</w:t>
            </w:r>
          </w:p>
        </w:tc>
      </w:tr>
      <w:tr>
        <w:tc>
          <w:tcPr>
            <w:tcW w:type="dxa" w:w="4535"/>
          </w:tcPr>
          <w:p>
            <w:r/>
            <w:r>
              <w:rPr>
                <w:rFonts w:ascii="Times New Roman" w:hAnsi="Times New Roman" w:cs="Times New Roman" w:eastAsia="Times New Roman"/>
                <w:b w:val="0"/>
                <w:i w:val="0"/>
                <w:color w:val="000000"/>
                <w:sz w:val="16"/>
              </w:rPr>
              <w:t>NLA asistente</w:t>
            </w:r>
          </w:p>
        </w:tc>
        <w:tc>
          <w:tcPr>
            <w:tcW w:type="dxa" w:w="4535"/>
          </w:tcPr>
          <w:p>
            <w:r/>
            <w:r>
              <w:rPr>
                <w:rFonts w:ascii="Times New Roman" w:hAnsi="Times New Roman" w:cs="Times New Roman" w:eastAsia="Times New Roman"/>
                <w:b w:val="0"/>
                <w:i w:val="0"/>
                <w:color w:val="000000"/>
                <w:sz w:val="16"/>
              </w:rPr>
              <w:t>Verbalización del primer token de respuesta</w:t>
            </w:r>
          </w:p>
        </w:tc>
      </w:tr>
      <w:tr>
        <w:tc>
          <w:tcPr>
            <w:tcW w:type="dxa" w:w="4535"/>
          </w:tcPr>
          <w:p>
            <w:r/>
            <w:r>
              <w:rPr>
                <w:rFonts w:ascii="Times New Roman" w:hAnsi="Times New Roman" w:cs="Times New Roman" w:eastAsia="Times New Roman"/>
                <w:b w:val="0"/>
                <w:i w:val="0"/>
                <w:color w:val="000000"/>
                <w:sz w:val="16"/>
              </w:rPr>
              <w:t>Evaluator</w:t>
            </w:r>
          </w:p>
        </w:tc>
        <w:tc>
          <w:tcPr>
            <w:tcW w:type="dxa" w:w="4535"/>
          </w:tcPr>
          <w:p>
            <w:r/>
            <w:r>
              <w:rPr>
                <w:rFonts w:ascii="Times New Roman" w:hAnsi="Times New Roman" w:cs="Times New Roman" w:eastAsia="Times New Roman"/>
                <w:b w:val="0"/>
                <w:i w:val="0"/>
                <w:color w:val="000000"/>
                <w:sz w:val="16"/>
              </w:rPr>
              <w:t>Métricas sobre AVs (y omisión vs completion)</w:t>
            </w:r>
          </w:p>
        </w:tc>
      </w:tr>
    </w:tbl>
    <w:p>
      <w:pPr>
        <w:spacing w:after="120" w:before="0" w:line="240" w:lineRule="auto"/>
        <w:jc w:val="both"/>
      </w:pPr>
      <w:r>
        <w:rPr>
          <w:rFonts w:ascii="Times New Roman" w:hAnsi="Times New Roman" w:cs="Times New Roman" w:eastAsia="Times New Roman"/>
          <w:b w:val="0"/>
          <w:i w:val="0"/>
          <w:color w:val="000000"/>
          <w:sz w:val="24"/>
        </w:rPr>
        <w:t>La Figura 2 muestra el uso que motiva el marco. Dos configuraciones (v1 y v2) recorren el mismo dataset. El panel de evaluadores resume tasas (por ejemplo hit rate de un juez booleano) para decidir si un modelo más barato o una política de tokens distinta cambia el señalizador interno.</w:t>
      </w:r>
    </w:p>
    <w:p>
      <w:pPr>
        <w:spacing w:after="160" w:before="160" w:line="240" w:lineRule="auto"/>
        <w:jc w:val="center"/>
      </w:pPr>
      <w:r>
        <w:rPr>
          <w:rFonts w:ascii="Times New Roman" w:hAnsi="Times New Roman" w:cs="Times New Roman" w:eastAsia="Times New Roman"/>
          <w:b w:val="0"/>
          <w:i/>
          <w:color w:val="000000"/>
          <w:sz w:val="20"/>
        </w:rPr>
        <w:t>Figura 2. Varias versiones de aplicación NLA (modelo, capa, política de tokens) sobre un único dataset. Los evaluadores agregan métricas por experimento.</w:t>
      </w:r>
    </w:p>
    <w:tbl>
      <w:tblPr>
        <w:tblStyle w:val="TableGrid"/>
        <w:tblW w:type="auto" w:w="0"/>
        <w:jc w:val="center"/>
        <w:tblLook w:firstColumn="1" w:firstRow="1" w:lastColumn="0" w:lastRow="0" w:noHBand="0" w:noVBand="1" w:val="04A0"/>
      </w:tblPr>
      <w:tblGrid>
        <w:gridCol w:w="4535"/>
        <w:gridCol w:w="4535"/>
      </w:tblGrid>
      <w:tr>
        <w:tc>
          <w:tcPr>
            <w:tcW w:type="dxa" w:w="4535"/>
            <w:shd w:fill="E8E8E8" w:val="clear"/>
          </w:tcPr>
          <w:p>
            <w:r/>
            <w:r>
              <w:rPr>
                <w:rFonts w:ascii="Times New Roman" w:hAnsi="Times New Roman" w:cs="Times New Roman" w:eastAsia="Times New Roman"/>
                <w:b/>
                <w:i w:val="0"/>
                <w:color w:val="000000"/>
                <w:sz w:val="18"/>
              </w:rPr>
              <w:t>Versión</w:t>
            </w:r>
          </w:p>
        </w:tc>
        <w:tc>
          <w:tcPr>
            <w:tcW w:type="dxa" w:w="4535"/>
            <w:shd w:fill="E8E8E8" w:val="clear"/>
          </w:tcPr>
          <w:p>
            <w:r/>
            <w:r>
              <w:rPr>
                <w:rFonts w:ascii="Times New Roman" w:hAnsi="Times New Roman" w:cs="Times New Roman" w:eastAsia="Times New Roman"/>
                <w:b/>
                <w:i w:val="0"/>
                <w:color w:val="000000"/>
                <w:sz w:val="18"/>
              </w:rPr>
              <w:t>Ejemplo</w:t>
            </w:r>
          </w:p>
        </w:tc>
      </w:tr>
      <w:tr>
        <w:tc>
          <w:tcPr>
            <w:tcW w:type="dxa" w:w="4535"/>
          </w:tcPr>
          <w:p>
            <w:r/>
            <w:r>
              <w:rPr>
                <w:rFonts w:ascii="Times New Roman" w:hAnsi="Times New Roman" w:cs="Times New Roman" w:eastAsia="Times New Roman"/>
                <w:b w:val="0"/>
                <w:i w:val="0"/>
                <w:color w:val="000000"/>
                <w:sz w:val="16"/>
              </w:rPr>
              <w:t>v1</w:t>
            </w:r>
          </w:p>
        </w:tc>
        <w:tc>
          <w:tcPr>
            <w:tcW w:type="dxa" w:w="4535"/>
          </w:tcPr>
          <w:p>
            <w:r/>
            <w:r>
              <w:rPr>
                <w:rFonts w:ascii="Times New Roman" w:hAnsi="Times New Roman" w:cs="Times New Roman" w:eastAsia="Times New Roman"/>
                <w:b w:val="0"/>
                <w:i w:val="0"/>
                <w:color w:val="000000"/>
                <w:sz w:val="16"/>
              </w:rPr>
              <w:t>Llama 3.3 70B Instruct, kitft-l53, último token de usuario</w:t>
            </w:r>
          </w:p>
        </w:tc>
      </w:tr>
      <w:tr>
        <w:tc>
          <w:tcPr>
            <w:tcW w:type="dxa" w:w="4535"/>
          </w:tcPr>
          <w:p>
            <w:r/>
            <w:r>
              <w:rPr>
                <w:rFonts w:ascii="Times New Roman" w:hAnsi="Times New Roman" w:cs="Times New Roman" w:eastAsia="Times New Roman"/>
                <w:b w:val="0"/>
                <w:i w:val="0"/>
                <w:color w:val="000000"/>
                <w:sz w:val="16"/>
              </w:rPr>
              <w:t>v2</w:t>
            </w:r>
          </w:p>
        </w:tc>
        <w:tc>
          <w:tcPr>
            <w:tcW w:type="dxa" w:w="4535"/>
          </w:tcPr>
          <w:p>
            <w:r/>
            <w:r>
              <w:rPr>
                <w:rFonts w:ascii="Times New Roman" w:hAnsi="Times New Roman" w:cs="Times New Roman" w:eastAsia="Times New Roman"/>
                <w:b w:val="0"/>
                <w:i w:val="0"/>
                <w:color w:val="000000"/>
                <w:sz w:val="16"/>
              </w:rPr>
              <w:t>Gemma 3 27B Instruct, kitft-l41, misma política</w:t>
            </w:r>
          </w:p>
        </w:tc>
      </w:tr>
      <w:tr>
        <w:tc>
          <w:tcPr>
            <w:tcW w:type="dxa" w:w="4535"/>
          </w:tcPr>
          <w:p>
            <w:r/>
            <w:r>
              <w:rPr>
                <w:rFonts w:ascii="Times New Roman" w:hAnsi="Times New Roman" w:cs="Times New Roman" w:eastAsia="Times New Roman"/>
                <w:b w:val="0"/>
                <w:i w:val="0"/>
                <w:color w:val="000000"/>
                <w:sz w:val="16"/>
              </w:rPr>
              <w:t>Dataset</w:t>
            </w:r>
          </w:p>
        </w:tc>
        <w:tc>
          <w:tcPr>
            <w:tcW w:type="dxa" w:w="4535"/>
          </w:tcPr>
          <w:p>
            <w:r/>
            <w:r>
              <w:rPr>
                <w:rFonts w:ascii="Times New Roman" w:hAnsi="Times New Roman" w:cs="Times New Roman" w:eastAsia="Times New Roman"/>
                <w:b w:val="0"/>
                <w:i w:val="0"/>
                <w:color w:val="000000"/>
                <w:sz w:val="16"/>
              </w:rPr>
              <w:t>Misma lista de prompts para ambas corridas</w:t>
            </w:r>
          </w:p>
        </w:tc>
      </w:tr>
      <w:tr>
        <w:tc>
          <w:tcPr>
            <w:tcW w:type="dxa" w:w="4535"/>
          </w:tcPr>
          <w:p>
            <w:r/>
            <w:r>
              <w:rPr>
                <w:rFonts w:ascii="Times New Roman" w:hAnsi="Times New Roman" w:cs="Times New Roman" w:eastAsia="Times New Roman"/>
                <w:b w:val="0"/>
                <w:i w:val="0"/>
                <w:color w:val="000000"/>
                <w:sz w:val="16"/>
              </w:rPr>
              <w:t>Evaluadores</w:t>
            </w:r>
          </w:p>
        </w:tc>
        <w:tc>
          <w:tcPr>
            <w:tcW w:type="dxa" w:w="4535"/>
          </w:tcPr>
          <w:p>
            <w:r/>
            <w:r>
              <w:rPr>
                <w:rFonts w:ascii="Times New Roman" w:hAnsi="Times New Roman" w:cs="Times New Roman" w:eastAsia="Times New Roman"/>
                <w:b w:val="0"/>
                <w:i w:val="0"/>
                <w:color w:val="000000"/>
                <w:sz w:val="16"/>
              </w:rPr>
              <w:t>Hit rate, score medio, categoría, MSE medio</w:t>
            </w:r>
          </w:p>
        </w:tc>
      </w:tr>
    </w:tbl>
    <w:p>
      <w:pPr>
        <w:spacing w:after="120" w:before="200" w:line="240" w:lineRule="auto"/>
        <w:jc w:val="left"/>
      </w:pPr>
      <w:r>
        <w:rPr>
          <w:rFonts w:ascii="Times New Roman" w:hAnsi="Times New Roman" w:cs="Times New Roman" w:eastAsia="Times New Roman"/>
          <w:b/>
          <w:i w:val="0"/>
          <w:color w:val="000000"/>
          <w:sz w:val="24"/>
        </w:rPr>
        <w:t>4.1 Interfaz</w:t>
      </w:r>
    </w:p>
    <w:p>
      <w:pPr>
        <w:spacing w:after="120" w:before="0" w:line="240" w:lineRule="auto"/>
        <w:jc w:val="both"/>
      </w:pPr>
      <w:r>
        <w:rPr>
          <w:rFonts w:ascii="Times New Roman" w:hAnsi="Times New Roman" w:cs="Times New Roman" w:eastAsia="Times New Roman"/>
          <w:b w:val="0"/>
          <w:i w:val="0"/>
          <w:color w:val="000000"/>
          <w:sz w:val="24"/>
        </w:rPr>
        <w:t>La interfaz es un laboratorio web. Home de onboarding. Datasets. Evaluadores con configuración de feedback alineada a LangSmith (boolean, score, categórica, include reasoning). Corrida de experimento (fuente NLA, política, jueces). Tabla de filas con celdas coloreadas (cumple o no cumple, score, categoría) y gráficos de comparación. Las claves de OpenAI y Neuronpedia viajan en la sesión del navegador hacia un proxy. No se persisten en el cliente como secretos de producto.</w:t>
      </w:r>
    </w:p>
    <w:p>
      <w:pPr>
        <w:spacing w:after="120" w:before="200" w:line="240" w:lineRule="auto"/>
        <w:jc w:val="left"/>
      </w:pPr>
      <w:r>
        <w:rPr>
          <w:rFonts w:ascii="Times New Roman" w:hAnsi="Times New Roman" w:cs="Times New Roman" w:eastAsia="Times New Roman"/>
          <w:b/>
          <w:i w:val="0"/>
          <w:color w:val="000000"/>
          <w:sz w:val="24"/>
        </w:rPr>
        <w:t>4.2 Orquestador de experimento</w:t>
      </w:r>
    </w:p>
    <w:p>
      <w:pPr>
        <w:spacing w:after="120" w:before="0" w:line="240" w:lineRule="auto"/>
        <w:jc w:val="both"/>
      </w:pPr>
      <w:r>
        <w:rPr>
          <w:rFonts w:ascii="Times New Roman" w:hAnsi="Times New Roman" w:cs="Times New Roman" w:eastAsia="Times New Roman"/>
          <w:b w:val="0"/>
          <w:i w:val="0"/>
          <w:color w:val="000000"/>
          <w:sz w:val="24"/>
        </w:rPr>
        <w:t>El orquestador es el análogo del kernel de ARIA [4], con un trabajo más estrecho. No clasifica requerimientos. Secuencia, por cada ejemplo del dataset, tres pasos. Primero, POST a la API de completion de Neuronpedia, con modelo e identificador de NLA (kitft-l53, kitft-l41). Segundo, selección de posiciones según la política y POST de explain. Tercero, para cada evaluador, un LLM u operación de código sobre el artefacto. El esquema JSON de salida lo dictan las claves de feedback.</w:t>
      </w:r>
    </w:p>
    <w:p>
      <w:pPr>
        <w:spacing w:after="120" w:before="0" w:line="240" w:lineRule="auto"/>
        <w:jc w:val="both"/>
      </w:pPr>
      <w:r>
        <w:rPr>
          <w:rFonts w:ascii="Times New Roman" w:hAnsi="Times New Roman" w:cs="Times New Roman" w:eastAsia="Times New Roman"/>
          <w:b w:val="0"/>
          <w:i w:val="0"/>
          <w:color w:val="000000"/>
          <w:sz w:val="24"/>
        </w:rPr>
        <w:t>El orquestador persiste el experimento (filas, scores, comentarios, MSE) para que un GET posterior, en otro proceso, no pierda la corrida. En servidor local el almacén es un JSON. En despliegue el almacén debe ser compartido (por ejemplo Postgres). El filesystem efímero de una función serverless no es un laboratorio.</w:t>
      </w:r>
    </w:p>
    <w:p>
      <w:pPr>
        <w:spacing w:after="120" w:before="200" w:line="240" w:lineRule="auto"/>
        <w:jc w:val="left"/>
      </w:pPr>
      <w:r>
        <w:rPr>
          <w:rFonts w:ascii="Times New Roman" w:hAnsi="Times New Roman" w:cs="Times New Roman" w:eastAsia="Times New Roman"/>
          <w:b/>
          <w:i w:val="0"/>
          <w:color w:val="000000"/>
          <w:sz w:val="24"/>
        </w:rPr>
        <w:t>4.3 Capa NLA</w:t>
      </w:r>
    </w:p>
    <w:p>
      <w:pPr>
        <w:spacing w:after="120" w:before="0" w:line="240" w:lineRule="auto"/>
        <w:jc w:val="both"/>
      </w:pPr>
      <w:r>
        <w:rPr>
          <w:rFonts w:ascii="Times New Roman" w:hAnsi="Times New Roman" w:cs="Times New Roman" w:eastAsia="Times New Roman"/>
          <w:b w:val="0"/>
          <w:i w:val="0"/>
          <w:color w:val="000000"/>
          <w:sz w:val="24"/>
        </w:rPr>
        <w:t>Esta capa es un cliente. No reimplementa el autoencoder. Encapsula rate limits y el recorte de posiciones. Si explain falla, la fila queda con error y no se inventa un AV. El prototipo usa Llama 3.3 70B Instruct más Gemma 3 27B como contraste, no como par equivalente de claim científico.</w:t>
      </w:r>
    </w:p>
    <w:p>
      <w:pPr>
        <w:spacing w:after="120" w:before="200" w:line="240" w:lineRule="auto"/>
        <w:jc w:val="left"/>
      </w:pPr>
      <w:r>
        <w:rPr>
          <w:rFonts w:ascii="Times New Roman" w:hAnsi="Times New Roman" w:cs="Times New Roman" w:eastAsia="Times New Roman"/>
          <w:b/>
          <w:i w:val="0"/>
          <w:color w:val="000000"/>
          <w:sz w:val="24"/>
        </w:rPr>
        <w:t>4.4 Capa juez</w:t>
      </w:r>
    </w:p>
    <w:p>
      <w:pPr>
        <w:spacing w:after="120" w:before="0" w:line="240" w:lineRule="auto"/>
        <w:jc w:val="both"/>
      </w:pPr>
      <w:r>
        <w:rPr>
          <w:rFonts w:ascii="Times New Roman" w:hAnsi="Times New Roman" w:cs="Times New Roman" w:eastAsia="Times New Roman"/>
          <w:b w:val="0"/>
          <w:i w:val="0"/>
          <w:color w:val="000000"/>
          <w:sz w:val="24"/>
        </w:rPr>
        <w:t>Los prompts del juez son plantillas Mustache. El mapeo fija qué variable es el AV agregado, el AV de último token de usuario, el de primer token de asistente, el prompt, la completion, el token, el MSE o una referencia humana. El formato de respuesta (boolean, score con min y max, categorías con descripción) estructura el JSON. El razonamiento es opcional. El juez se aplica al AV, no a la respuesta pública, salvo que la rúbrica lo pida (omisión).</w:t>
      </w:r>
    </w:p>
    <w:p>
      <w:pPr>
        <w:spacing w:after="120" w:before="200" w:line="240" w:lineRule="auto"/>
        <w:jc w:val="left"/>
      </w:pPr>
      <w:r>
        <w:rPr>
          <w:rFonts w:ascii="Times New Roman" w:hAnsi="Times New Roman" w:cs="Times New Roman" w:eastAsia="Times New Roman"/>
          <w:b/>
          <w:i w:val="0"/>
          <w:color w:val="000000"/>
          <w:sz w:val="24"/>
        </w:rPr>
        <w:t>4.5 Capa de comparación</w:t>
      </w:r>
    </w:p>
    <w:p>
      <w:pPr>
        <w:spacing w:after="120" w:before="0" w:line="240" w:lineRule="auto"/>
        <w:jc w:val="both"/>
      </w:pPr>
      <w:r>
        <w:rPr>
          <w:rFonts w:ascii="Times New Roman" w:hAnsi="Times New Roman" w:cs="Times New Roman" w:eastAsia="Times New Roman"/>
          <w:b w:val="0"/>
          <w:i w:val="0"/>
          <w:color w:val="000000"/>
          <w:sz w:val="24"/>
        </w:rPr>
        <w:t>La tabla de un run copia el gesto de LangSmith. Columnas de input, referencia, output (el AV) y una columna por clave de feedback. Boolean se muestra como 1.00 o 0.00 con color. Score se colorea entre mínimo y máximo. Categórica muestra el nombre. El encabezado informa el promedio. La comparación de dos experimentos reusa las mismas claves sobre el mismo dataset. Un evaluador pairwise (Figura 3) queda como extensión. Dos AVs del mismo example, un juez de preferencia, preferred en {0, 1}.</w:t>
      </w:r>
    </w:p>
    <w:p>
      <w:pPr>
        <w:spacing w:after="160" w:before="160" w:line="240" w:lineRule="auto"/>
        <w:jc w:val="center"/>
      </w:pPr>
      <w:r>
        <w:rPr>
          <w:rFonts w:ascii="Times New Roman" w:hAnsi="Times New Roman" w:cs="Times New Roman" w:eastAsia="Times New Roman"/>
          <w:b w:val="0"/>
          <w:i/>
          <w:color w:val="000000"/>
          <w:sz w:val="20"/>
        </w:rPr>
        <w:t>Figura 3. Evaluación pairwise (diseñada, no núcleo del prototipo). El juez elige entre dos verbalizaciones del mismo example.</w:t>
      </w:r>
    </w:p>
    <w:tbl>
      <w:tblPr>
        <w:tblStyle w:val="TableGrid"/>
        <w:tblW w:type="auto" w:w="0"/>
        <w:jc w:val="center"/>
        <w:tblLook w:firstColumn="1" w:firstRow="1" w:lastColumn="0" w:lastRow="0" w:noHBand="0" w:noVBand="1" w:val="04A0"/>
      </w:tblPr>
      <w:tblGrid>
        <w:gridCol w:w="4535"/>
        <w:gridCol w:w="4535"/>
      </w:tblGrid>
      <w:tr>
        <w:tc>
          <w:tcPr>
            <w:tcW w:type="dxa" w:w="4535"/>
            <w:shd w:fill="E8E8E8" w:val="clear"/>
          </w:tcPr>
          <w:p>
            <w:r/>
            <w:r>
              <w:rPr>
                <w:rFonts w:ascii="Times New Roman" w:hAnsi="Times New Roman" w:cs="Times New Roman" w:eastAsia="Times New Roman"/>
                <w:b/>
                <w:i w:val="0"/>
                <w:color w:val="000000"/>
                <w:sz w:val="18"/>
              </w:rPr>
              <w:t>Paso</w:t>
            </w:r>
          </w:p>
        </w:tc>
        <w:tc>
          <w:tcPr>
            <w:tcW w:type="dxa" w:w="4535"/>
            <w:shd w:fill="E8E8E8" w:val="clear"/>
          </w:tcPr>
          <w:p>
            <w:r/>
            <w:r>
              <w:rPr>
                <w:rFonts w:ascii="Times New Roman" w:hAnsi="Times New Roman" w:cs="Times New Roman" w:eastAsia="Times New Roman"/>
                <w:b/>
                <w:i w:val="0"/>
                <w:color w:val="000000"/>
                <w:sz w:val="18"/>
              </w:rPr>
              <w:t>Descripción</w:t>
            </w:r>
          </w:p>
        </w:tc>
      </w:tr>
      <w:tr>
        <w:tc>
          <w:tcPr>
            <w:tcW w:type="dxa" w:w="4535"/>
          </w:tcPr>
          <w:p>
            <w:r/>
            <w:r>
              <w:rPr>
                <w:rFonts w:ascii="Times New Roman" w:hAnsi="Times New Roman" w:cs="Times New Roman" w:eastAsia="Times New Roman"/>
                <w:b w:val="0"/>
                <w:i w:val="0"/>
                <w:color w:val="000000"/>
                <w:sz w:val="16"/>
              </w:rPr>
              <w:t>v1 y v2</w:t>
            </w:r>
          </w:p>
        </w:tc>
        <w:tc>
          <w:tcPr>
            <w:tcW w:type="dxa" w:w="4535"/>
          </w:tcPr>
          <w:p>
            <w:r/>
            <w:r>
              <w:rPr>
                <w:rFonts w:ascii="Times New Roman" w:hAnsi="Times New Roman" w:cs="Times New Roman" w:eastAsia="Times New Roman"/>
                <w:b w:val="0"/>
                <w:i w:val="0"/>
                <w:color w:val="000000"/>
                <w:sz w:val="16"/>
              </w:rPr>
              <w:t>Dos corridas sobre el mismo dataset</w:t>
            </w:r>
          </w:p>
        </w:tc>
      </w:tr>
      <w:tr>
        <w:tc>
          <w:tcPr>
            <w:tcW w:type="dxa" w:w="4535"/>
          </w:tcPr>
          <w:p>
            <w:r/>
            <w:r>
              <w:rPr>
                <w:rFonts w:ascii="Times New Roman" w:hAnsi="Times New Roman" w:cs="Times New Roman" w:eastAsia="Times New Roman"/>
                <w:b w:val="0"/>
                <w:i w:val="0"/>
                <w:color w:val="000000"/>
                <w:sz w:val="16"/>
              </w:rPr>
              <w:t>Par</w:t>
            </w:r>
          </w:p>
        </w:tc>
        <w:tc>
          <w:tcPr>
            <w:tcW w:type="dxa" w:w="4535"/>
          </w:tcPr>
          <w:p>
            <w:r/>
            <w:r>
              <w:rPr>
                <w:rFonts w:ascii="Times New Roman" w:hAnsi="Times New Roman" w:cs="Times New Roman" w:eastAsia="Times New Roman"/>
                <w:b w:val="0"/>
                <w:i w:val="0"/>
                <w:color w:val="000000"/>
                <w:sz w:val="16"/>
              </w:rPr>
              <w:t>AVs del mismo example</w:t>
            </w:r>
          </w:p>
        </w:tc>
      </w:tr>
      <w:tr>
        <w:tc>
          <w:tcPr>
            <w:tcW w:type="dxa" w:w="4535"/>
          </w:tcPr>
          <w:p>
            <w:r/>
            <w:r>
              <w:rPr>
                <w:rFonts w:ascii="Times New Roman" w:hAnsi="Times New Roman" w:cs="Times New Roman" w:eastAsia="Times New Roman"/>
                <w:b w:val="0"/>
                <w:i w:val="0"/>
                <w:color w:val="000000"/>
                <w:sz w:val="16"/>
              </w:rPr>
              <w:t>Juez pairwise</w:t>
            </w:r>
          </w:p>
        </w:tc>
        <w:tc>
          <w:tcPr>
            <w:tcW w:type="dxa" w:w="4535"/>
          </w:tcPr>
          <w:p>
            <w:r/>
            <w:r>
              <w:rPr>
                <w:rFonts w:ascii="Times New Roman" w:hAnsi="Times New Roman" w:cs="Times New Roman" w:eastAsia="Times New Roman"/>
                <w:b w:val="0"/>
                <w:i w:val="0"/>
                <w:color w:val="000000"/>
                <w:sz w:val="16"/>
              </w:rPr>
              <w:t>preferred = 0 o 1, más razonamiento opcional</w:t>
            </w:r>
          </w:p>
        </w:tc>
      </w:tr>
    </w:tbl>
    <w:p>
      <w:pPr>
        <w:spacing w:after="120" w:before="200" w:line="240" w:lineRule="auto"/>
        <w:jc w:val="left"/>
      </w:pPr>
      <w:r>
        <w:rPr>
          <w:rFonts w:ascii="Times New Roman" w:hAnsi="Times New Roman" w:cs="Times New Roman" w:eastAsia="Times New Roman"/>
          <w:b/>
          <w:i w:val="0"/>
          <w:color w:val="000000"/>
          <w:sz w:val="24"/>
        </w:rPr>
        <w:t>5. Prototipo</w:t>
      </w:r>
    </w:p>
    <w:p>
      <w:pPr>
        <w:spacing w:after="120" w:before="0" w:line="240" w:lineRule="auto"/>
        <w:jc w:val="both"/>
      </w:pPr>
      <w:r>
        <w:rPr>
          <w:rFonts w:ascii="Times New Roman" w:hAnsi="Times New Roman" w:cs="Times New Roman" w:eastAsia="Times New Roman"/>
          <w:b w:val="0"/>
          <w:i w:val="0"/>
          <w:color w:val="000000"/>
          <w:sz w:val="24"/>
        </w:rPr>
        <w:t>Se materializó un prototipo web (Next.js) que implementa el ciclo de las Secciones 4.1 a 4.5 contra la API real de Neuronpedia y un juez OpenAI. El prototipo no es la contribución teórica. Es la prueba de que el marco cabe en un frontend más dos llamadas, como se anticipaba. Dataset semilla de prompts de consejo y how-to, juez de tema foro o comunidad, política de último token de usuario, tabla de filas y gráficos de hit rate y MSE medio.</w:t>
      </w:r>
    </w:p>
    <w:p>
      <w:pPr>
        <w:spacing w:after="120" w:before="0" w:line="240" w:lineRule="auto"/>
        <w:jc w:val="both"/>
      </w:pPr>
      <w:r>
        <w:rPr>
          <w:rFonts w:ascii="Times New Roman" w:hAnsi="Times New Roman" w:cs="Times New Roman" w:eastAsia="Times New Roman"/>
          <w:b w:val="0"/>
          <w:i w:val="0"/>
          <w:color w:val="000000"/>
          <w:sz w:val="24"/>
        </w:rPr>
        <w:t>No se reportan aquí tasas como hallazgo. Un prototipo de pocos días no sustituye un protocolo de validación. Sí muestra que el cuello de botella deja de ser cómo pego diez capturas y pasa a ser qué rúbrica y qué política de tokens son honestas.</w:t>
      </w:r>
    </w:p>
    <w:p>
      <w:pPr>
        <w:spacing w:after="120" w:before="200" w:line="240" w:lineRule="auto"/>
        <w:jc w:val="left"/>
      </w:pPr>
      <w:r>
        <w:rPr>
          <w:rFonts w:ascii="Times New Roman" w:hAnsi="Times New Roman" w:cs="Times New Roman" w:eastAsia="Times New Roman"/>
          <w:b/>
          <w:i w:val="0"/>
          <w:color w:val="000000"/>
          <w:sz w:val="24"/>
        </w:rPr>
        <w:t>6. Diseño de validación</w:t>
      </w:r>
    </w:p>
    <w:p>
      <w:pPr>
        <w:spacing w:after="120" w:before="0" w:line="240" w:lineRule="auto"/>
        <w:jc w:val="both"/>
      </w:pPr>
      <w:r>
        <w:rPr>
          <w:rFonts w:ascii="Times New Roman" w:hAnsi="Times New Roman" w:cs="Times New Roman" w:eastAsia="Times New Roman"/>
          <w:b w:val="0"/>
          <w:i w:val="0"/>
          <w:color w:val="000000"/>
          <w:sz w:val="24"/>
        </w:rPr>
        <w:t>La validación se plantea en dos niveles, como en [4]. A nivel de señal, un conjunto fijo de prompts (familia consejo, how-to, enciclopedia, un ítem en español). Dos fuentes NLA (Llama 70B kitft-l53 y Gemma 27B kitft-l41). Una política de tokens congelada. Un juez booleano de tema de foro y un evaluador léxico. Métricas. Hit rate del juez, tasa léxica, tasa de omisión (AV sí, completion no), MSE medio. Acuerdo entre el juez y etiquetado humano sobre una muestra de AVs, en el espíritu del 97 % reportado en [1], sin copiar ese número.</w:t>
      </w:r>
    </w:p>
    <w:p>
      <w:pPr>
        <w:spacing w:after="120" w:before="0" w:line="240" w:lineRule="auto"/>
        <w:jc w:val="both"/>
      </w:pPr>
      <w:r>
        <w:rPr>
          <w:rFonts w:ascii="Times New Roman" w:hAnsi="Times New Roman" w:cs="Times New Roman" w:eastAsia="Times New Roman"/>
          <w:b w:val="0"/>
          <w:i w:val="0"/>
          <w:color w:val="000000"/>
          <w:sz w:val="24"/>
        </w:rPr>
        <w:t>A nivel de herramienta. Tiempo para reproducir una comparación que hoy exige pestañas. Capacidad de un tercero de definir un juez distinto (por ejemplo peligro o evaluación) sin tocar Neuronpedia. Usabilidad del laboratorio. Los resultados de esa validación son el trabajo que este artículo deja explícitamente abierto, no un resultado adelantado.</w:t>
      </w:r>
    </w:p>
    <w:p>
      <w:pPr>
        <w:spacing w:after="120" w:before="200" w:line="240" w:lineRule="auto"/>
        <w:jc w:val="left"/>
      </w:pPr>
      <w:r>
        <w:rPr>
          <w:rFonts w:ascii="Times New Roman" w:hAnsi="Times New Roman" w:cs="Times New Roman" w:eastAsia="Times New Roman"/>
          <w:b/>
          <w:i w:val="0"/>
          <w:color w:val="000000"/>
          <w:sz w:val="24"/>
        </w:rPr>
        <w:t>7. Limitaciones</w:t>
      </w:r>
    </w:p>
    <w:p>
      <w:pPr>
        <w:spacing w:after="120" w:before="0" w:line="240" w:lineRule="auto"/>
        <w:jc w:val="both"/>
      </w:pPr>
      <w:r>
        <w:rPr>
          <w:rFonts w:ascii="Times New Roman" w:hAnsi="Times New Roman" w:cs="Times New Roman" w:eastAsia="Times New Roman"/>
          <w:b w:val="0"/>
          <w:i w:val="0"/>
          <w:color w:val="000000"/>
          <w:sz w:val="24"/>
        </w:rPr>
        <w:t>El marco hereda los límites del instrumento. El NLA se entrena en una capa fija. El AV es un señalizador. El juez puede sesgarse hacia lexemas o hacia el propio prompt. Neuronpedia impone cupos. El prototipo no cubre pairwise ni jueces de código más allá del léxico. No hay NLA públicos sobre modelos base, así que no se replica el eje base frente a SFT de otros papers de sesgo cultural [5]. Nada de esto autoriza a leer un AV como pensamiento.</w:t>
      </w:r>
    </w:p>
    <w:p>
      <w:pPr>
        <w:spacing w:after="120" w:before="200" w:line="240" w:lineRule="auto"/>
        <w:jc w:val="left"/>
      </w:pPr>
      <w:r>
        <w:rPr>
          <w:rFonts w:ascii="Times New Roman" w:hAnsi="Times New Roman" w:cs="Times New Roman" w:eastAsia="Times New Roman"/>
          <w:b/>
          <w:i w:val="0"/>
          <w:color w:val="000000"/>
          <w:sz w:val="24"/>
        </w:rPr>
        <w:t>8. Conclusiones y trabajos futuros</w:t>
      </w:r>
    </w:p>
    <w:p>
      <w:pPr>
        <w:spacing w:after="120" w:before="0" w:line="240" w:lineRule="auto"/>
        <w:jc w:val="both"/>
      </w:pPr>
      <w:r>
        <w:rPr>
          <w:rFonts w:ascii="Times New Roman" w:hAnsi="Times New Roman" w:cs="Times New Roman" w:eastAsia="Times New Roman"/>
          <w:b w:val="0"/>
          <w:i w:val="0"/>
          <w:color w:val="000000"/>
          <w:sz w:val="24"/>
        </w:rPr>
        <w:t>Se presentó un marco para evaluar verbalizaciones NLA con el mismo ciclo que LangSmith ofrece para salidas de aplicaciones con IA. El aporte no es un método nuevo de interpretabilidad. Es convertir la inspección puntual de Neuronpedia y el grader ocasional de Anthropic en un laboratorio con dataset, política de tokens, evaluadores y comparación de corridas. El prototipo muestra que la implementación es un orquestador sobre APIs existentes. La validación empírica, el acuerdo humano-juez y el evaluador pairwise son los pasos siguientes.</w:t>
      </w:r>
    </w:p>
    <w:p>
      <w:pPr>
        <w:spacing w:after="120" w:before="0" w:line="240" w:lineRule="auto"/>
        <w:jc w:val="both"/>
      </w:pPr>
      <w:r>
        <w:rPr>
          <w:rFonts w:ascii="Times New Roman" w:hAnsi="Times New Roman" w:cs="Times New Roman" w:eastAsia="Times New Roman"/>
          <w:b w:val="0"/>
          <w:i w:val="0"/>
          <w:color w:val="000000"/>
          <w:sz w:val="24"/>
        </w:rPr>
        <w:t>Neuronpedia fomentó el acceso a NLA. NLA Eval apunta a fomentar investigaciones que los usen, con una forma determinística de probar hipótesis sobre temas en AVs.</w:t>
      </w:r>
    </w:p>
    <w:p>
      <w:pPr>
        <w:spacing w:after="120" w:before="200" w:line="240" w:lineRule="auto"/>
        <w:jc w:val="left"/>
      </w:pPr>
      <w:r>
        <w:rPr>
          <w:rFonts w:ascii="Times New Roman" w:hAnsi="Times New Roman" w:cs="Times New Roman" w:eastAsia="Times New Roman"/>
          <w:b/>
          <w:i w:val="0"/>
          <w:color w:val="000000"/>
          <w:sz w:val="20"/>
        </w:rPr>
        <w:t>Agradecimientos</w:t>
      </w:r>
    </w:p>
    <w:p>
      <w:pPr>
        <w:spacing w:after="160" w:before="0" w:line="240" w:lineRule="auto"/>
        <w:jc w:val="left"/>
      </w:pPr>
      <w:r>
        <w:rPr>
          <w:rFonts w:ascii="Times New Roman" w:hAnsi="Times New Roman" w:cs="Times New Roman" w:eastAsia="Times New Roman"/>
          <w:b w:val="0"/>
          <w:i w:val="0"/>
          <w:color w:val="000000"/>
          <w:sz w:val="20"/>
        </w:rPr>
        <w:t>[Nombres y apellidos de los docentes tutores. Completar en camera ready.]</w:t>
      </w:r>
    </w:p>
    <w:p>
      <w:pPr>
        <w:spacing w:after="120" w:before="200" w:line="240" w:lineRule="auto"/>
        <w:jc w:val="left"/>
      </w:pPr>
      <w:r>
        <w:rPr>
          <w:rFonts w:ascii="Times New Roman" w:hAnsi="Times New Roman" w:cs="Times New Roman" w:eastAsia="Times New Roman"/>
          <w:b/>
          <w:i w:val="0"/>
          <w:color w:val="000000"/>
          <w:sz w:val="20"/>
        </w:rPr>
        <w:t>Referencias</w:t>
      </w:r>
    </w:p>
    <w:p>
      <w:pPr>
        <w:spacing w:after="80" w:before="0" w:line="240" w:lineRule="auto"/>
        <w:jc w:val="both"/>
      </w:pPr>
      <w:r>
        <w:rPr>
          <w:rFonts w:ascii="Times New Roman" w:hAnsi="Times New Roman" w:cs="Times New Roman" w:eastAsia="Times New Roman"/>
          <w:b w:val="0"/>
          <w:i w:val="0"/>
          <w:color w:val="000000"/>
          <w:sz w:val="20"/>
        </w:rPr>
        <w:t>[1] K. Fraser-Taliente et al., “Natural Language Autoencoders,” Transformer Circuits, may. 2026. https://transformer-circuits.pub/2026/nla/</w:t>
      </w:r>
    </w:p>
    <w:p>
      <w:pPr>
        <w:spacing w:after="80" w:before="0" w:line="240" w:lineRule="auto"/>
        <w:jc w:val="both"/>
      </w:pPr>
      <w:r>
        <w:rPr>
          <w:rFonts w:ascii="Times New Roman" w:hAnsi="Times New Roman" w:cs="Times New Roman" w:eastAsia="Times New Roman"/>
          <w:b w:val="0"/>
          <w:i w:val="0"/>
          <w:color w:val="000000"/>
          <w:sz w:val="20"/>
        </w:rPr>
        <w:t>[2] Neuronpedia, “Natural Language Autoencoders demo and API.” https://www.neuronpedia.org/nla</w:t>
      </w:r>
    </w:p>
    <w:p>
      <w:pPr>
        <w:spacing w:after="80" w:before="0" w:line="240" w:lineRule="auto"/>
        <w:jc w:val="both"/>
      </w:pPr>
      <w:r>
        <w:rPr>
          <w:rFonts w:ascii="Times New Roman" w:hAnsi="Times New Roman" w:cs="Times New Roman" w:eastAsia="Times New Roman"/>
          <w:b w:val="0"/>
          <w:i w:val="0"/>
          <w:color w:val="000000"/>
          <w:sz w:val="20"/>
        </w:rPr>
        <w:t>[3] LangChain, “LangSmith: evaluation and experiment tracking for LLM applications.” https://docs.smith.langchain.com/</w:t>
      </w:r>
    </w:p>
    <w:p>
      <w:pPr>
        <w:spacing w:after="80" w:before="0" w:line="240" w:lineRule="auto"/>
        <w:jc w:val="both"/>
      </w:pPr>
      <w:r>
        <w:rPr>
          <w:rFonts w:ascii="Times New Roman" w:hAnsi="Times New Roman" w:cs="Times New Roman" w:eastAsia="Times New Roman"/>
          <w:b w:val="0"/>
          <w:i w:val="0"/>
          <w:color w:val="000000"/>
          <w:sz w:val="20"/>
        </w:rPr>
        <w:t>[4] P. Kozak Riehme et al., “ARIA: Un Enfoque Inteligente para la Gestión y Mejora de Requerimientos en Entornos Ágiles,” CoNaIISI, 2026.</w:t>
      </w:r>
    </w:p>
    <w:p>
      <w:pPr>
        <w:spacing w:after="80" w:before="0" w:line="240" w:lineRule="auto"/>
        <w:jc w:val="both"/>
      </w:pPr>
      <w:r>
        <w:rPr>
          <w:rFonts w:ascii="Times New Roman" w:hAnsi="Times New Roman" w:cs="Times New Roman" w:eastAsia="Times New Roman"/>
          <w:b w:val="0"/>
          <w:i w:val="0"/>
          <w:color w:val="000000"/>
          <w:sz w:val="20"/>
        </w:rPr>
        <w:t>[5] J. Fernandez de Landa et al., “Why are all LLMs Obsessed with Japanese Culture? On the Hidden Cultural and Regional Biases of LLMs,” Findings of EMNLP, 2026. arXiv:2604.21751.</w:t>
      </w:r>
    </w:p>
    <w:p>
      <w:pPr>
        <w:spacing w:after="80" w:before="0" w:line="240" w:lineRule="auto"/>
        <w:jc w:val="both"/>
      </w:pPr>
      <w:r>
        <w:rPr>
          <w:rFonts w:ascii="Times New Roman" w:hAnsi="Times New Roman" w:cs="Times New Roman" w:eastAsia="Times New Roman"/>
          <w:b w:val="0"/>
          <w:i w:val="0"/>
          <w:color w:val="000000"/>
          <w:sz w:val="20"/>
        </w:rPr>
        <w:t>[6] Anthropic, “Natural Language Autoencoders,” 2026. https://www.anthropic.com/research/natural-language-autoencoders</w:t>
      </w:r>
    </w:p>
    <w:p>
      <w:pPr>
        <w:spacing w:after="80" w:before="0" w:line="240" w:lineRule="auto"/>
        <w:jc w:val="both"/>
      </w:pPr>
      <w:r>
        <w:rPr>
          <w:rFonts w:ascii="Times New Roman" w:hAnsi="Times New Roman" w:cs="Times New Roman" w:eastAsia="Times New Roman"/>
          <w:b w:val="0"/>
          <w:i w:val="0"/>
          <w:color w:val="000000"/>
          <w:sz w:val="20"/>
        </w:rPr>
        <w:t>[7] kitft, “natural_language_autoencoders,” GitHub. https://github.com/kitft/natural_language_autoencoders</w:t>
      </w:r>
    </w:p>
    <w:p>
      <w:pPr>
        <w:spacing w:after="120" w:before="200" w:line="240" w:lineRule="auto"/>
        <w:jc w:val="left"/>
      </w:pPr>
      <w:r>
        <w:rPr>
          <w:rFonts w:ascii="Times New Roman" w:hAnsi="Times New Roman" w:cs="Times New Roman" w:eastAsia="Times New Roman"/>
          <w:b/>
          <w:i w:val="0"/>
          <w:color w:val="000000"/>
          <w:sz w:val="20"/>
        </w:rPr>
        <w:t>Datos de Contacto</w:t>
      </w:r>
    </w:p>
    <w:p>
      <w:pPr>
        <w:spacing w:after="120" w:before="0" w:line="240" w:lineRule="auto"/>
        <w:jc w:val="both"/>
      </w:pPr>
      <w:r>
        <w:rPr>
          <w:rFonts w:ascii="Times New Roman" w:hAnsi="Times New Roman" w:cs="Times New Roman" w:eastAsia="Times New Roman"/>
          <w:b w:val="0"/>
          <w:i/>
          <w:color w:val="000000"/>
          <w:sz w:val="20"/>
        </w:rPr>
        <w:t>Completar en camera ready. Nombre y Apellido. Universidad Tecnológica Nacional, [unidad académica]. Dirección postal. E-mail.</w:t>
      </w:r>
    </w:p>
    <w:sectPr w:rsidR="00FC693F" w:rsidRPr="0006063C" w:rsidSect="00034616">
      <w:type w:val="continuous"/>
      <w:pgSz w:w="11907" w:h="16840"/>
      <w:pgMar w:top="1418" w:right="1418" w:bottom="1418" w:left="1418" w:header="0" w:footer="0" w:gutter="0"/>
      <w:docGrid w:linePitch="360"/>
      <w:cols w:equalWidth="0" w:num="2">
        <w:col w:space="567" w:w="4252"/>
        <w:col w:space="0" w:w="4252"/>
      </w:cols>
      <w:pgNumType w:fmt="non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