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b w:val="1"/>
          <w:sz w:val="27"/>
          <w:szCs w:val="27"/>
          <w:rtl w:val="0"/>
        </w:rPr>
        <w:t xml:space="preserve">1. Guion de exposición: “La conexión entre el STEM y la Robótica”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Duración estimada: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10–12 minutos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Nivel de público: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intermedio–avanzado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Tema adicional: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módulo de riego automático (presentado aparte)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Introducción – Persona 1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““La educación STEM no solo forma ingenieros o científicos, forma solucionadores de problemas para un mundo que necesita ideas nuevas.”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Neil deGrasse Tyson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Hoy queremos mostrarles cómo el enfoque STEM se conecta profundamente con la robótica, y cómo esta relación impulsa el desarrollo. (Tono de voz intigrante)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Medellín ha pasado de ser un centro industrial a convertirse en un ecosistema de innovación tecnológica. Programas como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Ruta 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Parque Explora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los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Clubes de Ciencia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son ejemplo de cómo el pensamiento STEM se está aplicando para resolver problemas reales, desde movilidad urbana hasta automatización agrícola.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Desarrollo I – Persona 2: “La relación entre STEM y la robótica”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“Cuando hablamos de STEM aplicado a la robótica, no nos referimos solo a programar robots. Hablamos de integrar las cuatro áreas para diseñar sistemas complejos que respondan a necesidades del entorno.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ejemplo,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ciencia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da el conocimiento sobre cómo funcionan los materiales, sensores o la energía.</w:t>
        <w:br w:type="textWrapping"/>
        <w:t xml:space="preserve">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tecnología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brinda las herramientas para construir los dispositivos.</w:t>
        <w:br w:type="textWrapping"/>
        <w:t xml:space="preserve">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 esos conceptos para que todo funcione de forma eficiente.</w:t>
        <w:br w:type="textWrapping"/>
        <w:t xml:space="preserve">Y las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matemáticas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permiten modelar, calibrar y optimizar el comportamiento del robot.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Desarrollo II – Persona 3: “Aplicaciones cotidianas y contexto local”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“Lo más interesante es cómo esto ya está transformando nuestra vida diaria. En Medellín, por ejemplo, vemos aplicaciones robóticas en el metro, en el control de tráfico, y hasta en la recolección de residuos inteligentes.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También hay proyectos educativos, como los del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SENA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 los estudiantes crean prototipos robóticos que ayudan a resolver problemas reales: brazos robóticos, sensores de contaminación, o sistemas automatizados de energía.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el campo agrícola, la robótica está empezando a ser esencial. Con sensores y actuadores, se puede medir la humedad del suelo, controlar el riego y mejorar la productividad.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Desarrollo III – Persona 4: “La robótica como motor del aprendizaje STEM”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 desarrolla competencias clave: pensamiento lógico, resolución de problemas, creatividad y trabajo colaborativo.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Medellín, en especial, ha impulsado este tipo de aprendizaje con programas de robótica educativa en colegios públicos, ferias como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Expotecnológica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eventos de robótica competitiva que motivan a los jóvenes a innovar.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Incluso la Alcaldía ha promovido el concepto de ‘Medellín Valle del Software’, donde la robótica es uno de los pilares para el desarrollo tecnológico sostenible.”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Transición – Persona 5: “Del concepto a la práctica: la automatización aplicada”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“Hasta ahora hemos visto cómo el STEM impulsa la robótica, pero también cómo la robótica devuelve ese impacto a la sociedad a través de soluciones prácticas.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nuestros compañeros presentarán un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módulo de riego de plantas automático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un proyecto que demuestra exactamente cómo los principios del STEM pueden aplicarse para crear soluciones sostenibles, eficientes.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 Módulo de riego automático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Arial" w:cs="Arial" w:eastAsia="Arial" w:hAnsi="Arial"/>
          <w:b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27"/>
          <w:szCs w:val="27"/>
          <w:rtl w:val="0"/>
        </w:rPr>
        <w:t xml:space="preserve">Cierre – Persona 1 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“En conclusión, el enfoque STEM y la robótica no son solo temas de laboratorio: son herramientas reales para transformar comunidades.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Medellín, esta relación está marcando el camino hacia una ciudad más tecnológica, sostenible y con oportunidades para quienes se preparan en estas áreas.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módulo de riego que verán a continuación es una muestra concreta de que el aprendizaje práctico, basado en STEM, puede convertirse en innovación real y aplicable al día a día.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Muchas gracias.”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Libre Franklin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FA4E1A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FA4E1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FA4E1A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A4E1A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FA4E1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Medium-regular.ttf"/><Relationship Id="rId2" Type="http://schemas.openxmlformats.org/officeDocument/2006/relationships/font" Target="fonts/LibreFranklinMedium-bold.ttf"/><Relationship Id="rId3" Type="http://schemas.openxmlformats.org/officeDocument/2006/relationships/font" Target="fonts/LibreFranklinMedium-italic.ttf"/><Relationship Id="rId4" Type="http://schemas.openxmlformats.org/officeDocument/2006/relationships/font" Target="fonts/LibreFranklinMedium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NjcToe2J6kTxh76En2J/8U5cQ==">CgMxLjA4AHIhMTRwNXNWWl9wZUlXRHl3SGdiNHJQcTR0NVdtNk1HajBs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2025-10-18T14:45:00Z</dcterms:created>
  <dc:creator>VortexZen _</dc:creator>
</cp:coreProperties>
</file>