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9C8B6" w14:textId="3516700A" w:rsidR="00E05798" w:rsidRPr="00CE3BB4" w:rsidRDefault="007E6515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CE3BB4">
        <w:rPr>
          <w:rFonts w:ascii="Arial" w:hAnsi="Arial" w:cs="Arial"/>
          <w:b/>
          <w:sz w:val="24"/>
          <w:szCs w:val="24"/>
          <w:lang w:val="es-ES"/>
        </w:rPr>
        <w:t xml:space="preserve">Formato </w:t>
      </w:r>
      <w:r w:rsidR="00F70DB9">
        <w:rPr>
          <w:rFonts w:ascii="Arial" w:hAnsi="Arial" w:cs="Arial"/>
          <w:b/>
          <w:sz w:val="24"/>
          <w:szCs w:val="24"/>
          <w:lang w:val="es-ES"/>
        </w:rPr>
        <w:t>Syllabus</w:t>
      </w:r>
    </w:p>
    <w:p w14:paraId="4954029C" w14:textId="0A64FC65" w:rsidR="007E6515" w:rsidRPr="00CE3BB4" w:rsidRDefault="007E6515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CE3BB4">
        <w:rPr>
          <w:rFonts w:ascii="Arial" w:hAnsi="Arial" w:cs="Arial"/>
          <w:b/>
          <w:sz w:val="24"/>
          <w:szCs w:val="24"/>
          <w:lang w:val="es-ES"/>
        </w:rPr>
        <w:t>Universidad de Manizales</w:t>
      </w:r>
    </w:p>
    <w:p w14:paraId="5F3369CF" w14:textId="30B43AE8" w:rsidR="006A35AA" w:rsidRPr="00502F8E" w:rsidRDefault="00F64A5A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Ingeniería de Sistemas y Telecomunicaciones</w:t>
      </w:r>
    </w:p>
    <w:p w14:paraId="2E92CA59" w14:textId="5069970A" w:rsidR="006A35AA" w:rsidRPr="00CE3BB4" w:rsidRDefault="006A35AA" w:rsidP="00CE3BB4">
      <w:pPr>
        <w:spacing w:after="0"/>
        <w:jc w:val="center"/>
        <w:rPr>
          <w:rFonts w:ascii="Arial" w:hAnsi="Arial" w:cs="Arial"/>
          <w:b/>
          <w:color w:val="FF0000"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single" w:sz="18" w:space="0" w:color="003300"/>
          <w:left w:val="single" w:sz="18" w:space="0" w:color="003300"/>
          <w:bottom w:val="single" w:sz="18" w:space="0" w:color="003300"/>
          <w:right w:val="single" w:sz="18" w:space="0" w:color="003300"/>
        </w:tblBorders>
        <w:tblLook w:val="04A0" w:firstRow="1" w:lastRow="0" w:firstColumn="1" w:lastColumn="0" w:noHBand="0" w:noVBand="1"/>
      </w:tblPr>
      <w:tblGrid>
        <w:gridCol w:w="2671"/>
        <w:gridCol w:w="2086"/>
        <w:gridCol w:w="1076"/>
        <w:gridCol w:w="1708"/>
        <w:gridCol w:w="1251"/>
      </w:tblGrid>
      <w:tr w:rsidR="00BD290F" w:rsidRPr="0087505A" w14:paraId="5C56380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5A7A47D2" w14:textId="2CE1A07A" w:rsidR="00BD290F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Nombre de la a</w:t>
            </w:r>
            <w:r w:rsidR="00BD290F" w:rsidRPr="0087505A">
              <w:rPr>
                <w:rFonts w:ascii="Arial" w:hAnsi="Arial" w:cs="Arial"/>
                <w:b/>
                <w:lang w:val="es-ES"/>
              </w:rPr>
              <w:t>signatura</w:t>
            </w:r>
            <w:r w:rsidR="000F1AF0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20223BA0" w14:textId="093CD6FC" w:rsidR="00BD290F" w:rsidRPr="0087505A" w:rsidRDefault="001C212B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Ingeniería del Software</w:t>
            </w:r>
            <w:r w:rsidR="00AB6B68">
              <w:rPr>
                <w:rFonts w:ascii="Arial" w:hAnsi="Arial" w:cs="Arial"/>
                <w:lang w:val="es-ES"/>
              </w:rPr>
            </w:r>
            <w:r>
              <w:rPr>
                <w:rFonts w:ascii="Arial" w:hAnsi="Arial" w:cs="Arial"/>
                <w:lang w:val="es-ES"/>
              </w:rPr>
            </w:r>
          </w:p>
        </w:tc>
      </w:tr>
      <w:tr w:rsidR="00F70DB9" w:rsidRPr="0087505A" w14:paraId="633BC13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29968AEC" w14:textId="591FAFE8" w:rsidR="00F70DB9" w:rsidRPr="0087505A" w:rsidRDefault="00056C5D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Modalidad:</w:t>
            </w:r>
          </w:p>
        </w:tc>
        <w:tc>
          <w:tcPr>
            <w:tcW w:w="6121" w:type="dxa"/>
            <w:gridSpan w:val="4"/>
            <w:vAlign w:val="center"/>
          </w:tcPr>
          <w:p w14:paraId="0F5C4E7D" w14:textId="30352A7D" w:rsidR="00F70DB9" w:rsidRPr="0087505A" w:rsidRDefault="000F1AF0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Presencial y Virtual</w:t>
            </w:r>
          </w:p>
        </w:tc>
      </w:tr>
      <w:tr w:rsidR="00BD290F" w:rsidRPr="0087505A" w14:paraId="6C3CC4E5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72B02248" w14:textId="2FAC2A87" w:rsidR="00BD290F" w:rsidRPr="0087505A" w:rsidRDefault="00BD290F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Código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6A2017C5" w14:textId="3875F773" w:rsidR="00BD290F" w:rsidRPr="0087505A" w:rsidRDefault="001C212B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1C212B">
              <w:rPr>
                <w:rFonts w:ascii="Arial" w:hAnsi="Arial" w:cs="Arial"/>
                <w:b w:val="0"/>
                <w:sz w:val="22"/>
                <w:lang w:val="es-ES"/>
              </w:rPr>
              <w:t>82820717</w:t>
            </w:r>
          </w:p>
        </w:tc>
      </w:tr>
      <w:tr w:rsidR="00696E06" w:rsidRPr="0087505A" w14:paraId="5CFFD9CA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665BB33E" w14:textId="7AE84F50" w:rsidR="00696E06" w:rsidRPr="0087505A" w:rsidRDefault="00696E06" w:rsidP="0087505A">
            <w:pPr>
              <w:jc w:val="center"/>
              <w:rPr>
                <w:rFonts w:ascii="Arial" w:hAnsi="Arial" w:cs="Arial"/>
                <w:b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Créditos académicos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66F841C4" w14:textId="0BDB7FA9" w:rsidR="00696E06" w:rsidRPr="0087505A" w:rsidRDefault="000F1AF0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2 (presencial) / 3 (virtual)</w:t>
            </w:r>
          </w:p>
        </w:tc>
      </w:tr>
      <w:tr w:rsidR="00696E06" w:rsidRPr="0087505A" w14:paraId="754DE8A7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48818B3C" w14:textId="3D379AD6" w:rsidR="00696E06" w:rsidRPr="0087505A" w:rsidRDefault="00696E06" w:rsidP="0087505A">
            <w:pPr>
              <w:jc w:val="center"/>
              <w:rPr>
                <w:rFonts w:ascii="Arial" w:hAnsi="Arial" w:cs="Arial"/>
                <w:b/>
              </w:rPr>
            </w:pPr>
            <w:r w:rsidRPr="0087505A">
              <w:rPr>
                <w:rFonts w:ascii="Arial" w:hAnsi="Arial" w:cs="Arial"/>
                <w:b/>
              </w:rPr>
              <w:t>Semestre Académico</w:t>
            </w:r>
            <w:r w:rsidR="00056C5D" w:rsidRPr="008750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2CC74FD2" w14:textId="6AE73D37" w:rsidR="00696E06" w:rsidRPr="0087505A" w:rsidRDefault="00571AE7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Séptimo</w:t>
            </w:r>
          </w:p>
        </w:tc>
      </w:tr>
      <w:tr w:rsidR="00BD290F" w:rsidRPr="0087505A" w14:paraId="3677BBD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725A6758" w14:textId="325CD718" w:rsidR="00BD290F" w:rsidRPr="0087505A" w:rsidRDefault="00BD290F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</w:rPr>
              <w:t>Tipo de asignatura:</w:t>
            </w:r>
          </w:p>
        </w:tc>
        <w:tc>
          <w:tcPr>
            <w:tcW w:w="6121" w:type="dxa"/>
            <w:gridSpan w:val="4"/>
            <w:vAlign w:val="center"/>
          </w:tcPr>
          <w:p w14:paraId="113B9960" w14:textId="6679F8DD" w:rsidR="00BD290F" w:rsidRPr="0087505A" w:rsidRDefault="0006760E" w:rsidP="0087505A">
            <w:pPr>
              <w:jc w:val="center"/>
              <w:rPr>
                <w:rFonts w:ascii="Arial" w:hAnsi="Arial" w:cs="Arial"/>
                <w:i/>
                <w:lang w:val="es-ES"/>
              </w:rPr>
            </w:pPr>
            <w:r>
              <w:rPr>
                <w:rFonts w:ascii="Arial" w:hAnsi="Arial" w:cs="Arial"/>
                <w:b w:val="0"/>
                <w:i/>
                <w:sz w:val="22"/>
                <w:lang w:val="es-ES"/>
              </w:rPr>
              <w:t>Teórico-práctica</w:t>
            </w:r>
            <w:r w:rsidR="00696E06" w:rsidRPr="0087505A">
              <w:rPr>
                <w:rFonts w:ascii="Arial" w:hAnsi="Arial" w:cs="Arial"/>
                <w:i/>
                <w:lang w:val="es-ES"/>
              </w:rPr>
            </w:r>
          </w:p>
        </w:tc>
      </w:tr>
      <w:tr w:rsidR="00BD290F" w:rsidRPr="0087505A" w14:paraId="2D24D0F8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2A6DD0EB" w14:textId="193BD771" w:rsidR="00BD290F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Relación del crédito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51F4887C" w14:textId="442D23CA" w:rsidR="00BD290F" w:rsidRPr="0087505A" w:rsidRDefault="00D422D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1:2 (presencial) / 1:3 (virtual)</w:t>
            </w:r>
          </w:p>
        </w:tc>
      </w:tr>
      <w:tr w:rsidR="00696E06" w:rsidRPr="0087505A" w14:paraId="5588D51E" w14:textId="213B3583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4EF0451D" w14:textId="27C4B968" w:rsidR="00696E06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Distribución de horas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2086" w:type="dxa"/>
            <w:vAlign w:val="center"/>
          </w:tcPr>
          <w:p w14:paraId="72983DD4" w14:textId="4569E5E5" w:rsidR="00696E06" w:rsidRPr="0087505A" w:rsidRDefault="00696E06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Horas de trabajo directo (Sincrónico o asincrónico</w:t>
            </w:r>
            <w:r w:rsidRPr="0087505A">
              <w:rPr>
                <w:rFonts w:ascii="Arial" w:hAnsi="Arial" w:cs="Arial"/>
                <w:lang w:val="es-ES"/>
              </w:rPr>
              <w:t>)</w:t>
            </w:r>
          </w:p>
        </w:tc>
        <w:tc>
          <w:tcPr>
            <w:tcW w:w="1076" w:type="dxa"/>
            <w:vAlign w:val="center"/>
          </w:tcPr>
          <w:p w14:paraId="5DFAFF98" w14:textId="44584A3F" w:rsidR="00696E06" w:rsidRPr="0087505A" w:rsidRDefault="00F64A5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32 (presencial) / 36 (virtual)</w:t>
            </w:r>
          </w:p>
        </w:tc>
        <w:tc>
          <w:tcPr>
            <w:tcW w:w="1708" w:type="dxa"/>
            <w:vAlign w:val="center"/>
          </w:tcPr>
          <w:p w14:paraId="5211054F" w14:textId="7A592415" w:rsidR="00696E06" w:rsidRPr="0087505A" w:rsidRDefault="00696E06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Horas de trabajo independiente</w:t>
            </w:r>
          </w:p>
        </w:tc>
        <w:tc>
          <w:tcPr>
            <w:tcW w:w="1251" w:type="dxa"/>
            <w:vAlign w:val="center"/>
          </w:tcPr>
          <w:p w14:paraId="778095EA" w14:textId="4CF5A6FA" w:rsidR="00696E06" w:rsidRPr="0087505A" w:rsidRDefault="00F64A5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64 (presencial) / 108 (virtual)</w:t>
            </w:r>
          </w:p>
        </w:tc>
      </w:tr>
    </w:tbl>
    <w:p w14:paraId="21A88728" w14:textId="510CD516" w:rsidR="00ED790E" w:rsidRDefault="00ED790E" w:rsidP="00CE3BB4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</w:p>
    <w:p w14:paraId="4B26918B" w14:textId="0CF98142" w:rsidR="007E6515" w:rsidRDefault="00E168E6" w:rsidP="00F64A5A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 xml:space="preserve">Presentación del </w:t>
      </w:r>
      <w:r w:rsidR="00F70DB9">
        <w:rPr>
          <w:rFonts w:ascii="Arial" w:hAnsi="Arial" w:cs="Arial"/>
          <w:b/>
          <w:sz w:val="24"/>
          <w:szCs w:val="24"/>
          <w:lang w:val="es-ES"/>
        </w:rPr>
        <w:t>curso</w:t>
      </w:r>
      <w:r w:rsidR="00696E06">
        <w:rPr>
          <w:rFonts w:ascii="Arial" w:hAnsi="Arial" w:cs="Arial"/>
          <w:b/>
          <w:sz w:val="24"/>
          <w:szCs w:val="24"/>
          <w:lang w:val="es-ES"/>
        </w:rPr>
        <w:t>,</w:t>
      </w:r>
      <w:r w:rsidR="00F70DB9">
        <w:rPr>
          <w:rFonts w:ascii="Arial" w:hAnsi="Arial" w:cs="Arial"/>
          <w:b/>
          <w:sz w:val="24"/>
          <w:szCs w:val="24"/>
          <w:lang w:val="es-ES"/>
        </w:rPr>
        <w:t xml:space="preserve"> asignatura o módulo</w:t>
      </w:r>
      <w:r>
        <w:rPr>
          <w:rFonts w:ascii="Arial" w:hAnsi="Arial" w:cs="Arial"/>
          <w:b/>
          <w:sz w:val="24"/>
          <w:szCs w:val="24"/>
          <w:lang w:val="es-ES"/>
        </w:rPr>
        <w:t>:</w:t>
      </w:r>
    </w:p>
    <w:p w14:paraId="30B0765B" w14:textId="77777777" w:rsidR="00AC01E1" w:rsidRPr="007F432B" w:rsidRDefault="00AC01E1" w:rsidP="007F432B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7F432B">
        <w:rPr>
          <w:rFonts w:ascii="Arial" w:hAnsi="Arial" w:cs="Arial"/>
          <w:b w:val="0"/>
          <w:iCs/>
          <w:sz w:val="22"/>
          <w:szCs w:val="24"/>
          <w:lang w:val="es-ES"/>
        </w:rPr>
        <w:t>El curso de Ingeniería del Software, como cierre de la línea, integra las perspectivas de gestión, calidad y operación que convierten el código en un producto sostenible. A diferencia de las asignaturas previas, no reitera el análisis, el diseño ni las pruebas, sino que aborda cómo se gestiona, asegura, despliega y mantiene el software con calidad y responsabilidad profesional. El estudiante trabaja la gestión de proyectos, la calidad y la configuración, las prácticas de DevOps y de seguridad, y los aspectos éticos y legales de la profesión, con base en el cuerpo de conocimiento de la ingeniería del software (SWEBOK). El curso permite desarrollar en los futuros ingenieros de sistemas y telecomunicaciones las habilidades para gestionar, asegurar, desplegar y mantener el software con responsabilidad profesional.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A4CE4" w14:paraId="3264D52D" w14:textId="77777777" w:rsidTr="00CA4CE4">
        <w:tc>
          <w:tcPr>
            <w:tcW w:w="8828" w:type="dxa"/>
          </w:tcPr>
          <w:p w14:paraId="18027C3C" w14:textId="23EB4FB9" w:rsidR="00CA4CE4" w:rsidRDefault="00CA4CE4" w:rsidP="00CA4CE4">
            <w:pPr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ES"/>
              </w:rPr>
              <w:t>Resultados de aprendizaje</w:t>
            </w:r>
          </w:p>
        </w:tc>
      </w:tr>
      <w:tr w:rsidR="00CA4CE4" w14:paraId="45A1C9F5" w14:textId="77777777" w:rsidTr="00CA4CE4">
        <w:tc>
          <w:tcPr>
            <w:tcW w:w="8828" w:type="dxa"/>
          </w:tcPr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Seleccionar y justificar un modelo de ciclo de vida, planificar un incremento (alcance, backlog, estimación con supuestos y riesgos) y definir un sistema de métricas, puertas de calidad y gestión de la deuda técnica.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Gestionar la configuración y el versionamiento, y construir un pipeline reproducible de CI/CD con contenedores.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Integrar la seguridad en el ciclo de vida (DevSecOps: OWASP, SAST/DAST/SCA, SBOM y gestión de secretos).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Instrumentar observabilidad (logs, métricas, trazas, DORA, SLI/SLO) y gestionar incidentes con análisis causal y postmortem sin culpabilización.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Planificar el mantenimiento y la evolución, analizar las responsabilidades éticas, legales y de sostenibilidad (incluido el software producido con IA) y sustentar una decisión de liberación.</w:t>
            </w:r>
          </w:p>
        </w:tc>
      </w:tr>
      <w:tr w:rsidR="00CA4CE4" w14:paraId="6AE65D8E" w14:textId="77777777" w:rsidTr="00CA4CE4">
        <w:tc>
          <w:tcPr>
            <w:tcW w:w="8828" w:type="dxa"/>
          </w:tcPr>
          <w:p w14:paraId="6ACD8EA6" w14:textId="547F0EBD" w:rsidR="00CA4CE4" w:rsidRPr="00F70DB9" w:rsidRDefault="00CA4CE4" w:rsidP="001934DA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F70DB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lastRenderedPageBreak/>
              <w:t>Contenidos problémicos y/o unidades de aprendizaje, unidades temáticas, ejes temáticos o ejes problémicos, entre otros.</w:t>
            </w:r>
          </w:p>
        </w:tc>
      </w:tr>
      <w:tr w:rsidR="00CA4CE4" w14:paraId="6DB1952B" w14:textId="77777777" w:rsidTr="00CA4CE4">
        <w:tc>
          <w:tcPr>
            <w:tcW w:w="8828" w:type="dxa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1. Ciclo de vida, gestión y calidad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Ciclo de vida y planificación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Procesos del ciclo de vida (ISO/IEC/IEEE 12207) y modelos de proceso; DevOps sociotécnico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Planificación orientada a valor: alcance, backlog, roadmap; Definition of Ready y Done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Estimación, riesgos y calidad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Estimación (story points, Planning Poker, Three-Point); costo, reservas y contingencias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Riesgos (probabilidad, impacto, respuestas)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Calidad (ISO/IEC 25010), métricas, puertas de calidad y deuda técnica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como apoyo a la descomposición y la estimación preliminar, con validación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2. Configuración, CI/CD y DevSecOps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Configuración e integración continua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Gestión de configuración (ISO/IEC/IEEE 828); ramas, versionamiento semántico y changelog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Integración continua; pipeline como código, pruebas automatizadas y política de fallos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Entrega y seguridad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Entrega continua, contenedores y estrategias de despliegue (rolling, blue-green, canary); rollback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DevSecOps: Secure SDLC, OWASP Top 10, SAST/DAST/SCA, SBOM y gestión de secretos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para explicar fallas del pipeline y clasificar vulnerabilidades, con validación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3. Operación, observabilidad e incidentes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Observabilidad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Logs, métricas y trazas; Golden Signals; SLI, SLO y error budgets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Métricas DORA (frecuencia de despliegue, lead time, change failure rate, recuperación)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Gestión de incidentes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Severidad, triage, contención y recuperación; runbooks; RTO y RPO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Análisis causal (Five Whys, Ishikawa) y postmortem sin culpabilización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para construir un postmortem preliminar, con validación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4. Mantenimiento, evolución, ética y liberación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Mantenimiento y evolución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Tipos de mantenimiento (ISO/IEC/IEEE 14764); refactorización, migración y sistemas heredados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Priorización de deuda técnica; ciclo de vida de componentes de IA (drift, retiro responsable)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Ética, sostenibilidad y liberación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Ética profesional, propiedad intelectual y licencias (incluido el código generado con IA)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Accesibilidad, sesgos y sostenibilidad; decisión de liberación go/no-go; sustentación individual</w:t>
            </w:r>
          </w:p>
        </w:tc>
      </w:tr>
      <w:tr w:rsidR="00CA4CE4" w14:paraId="478B4991" w14:textId="77777777" w:rsidTr="00CA4CE4">
        <w:tc>
          <w:tcPr>
            <w:tcW w:w="8828" w:type="dxa"/>
          </w:tcPr>
          <w:p w14:paraId="5F0114E4" w14:textId="72348103" w:rsidR="001934DA" w:rsidRPr="001934DA" w:rsidRDefault="001934DA" w:rsidP="00073D81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ES"/>
              </w:rPr>
              <w:lastRenderedPageBreak/>
              <w:t>Recursos</w:t>
            </w:r>
            <w:r w:rsidR="00502F8E">
              <w:rPr>
                <w:rFonts w:ascii="Arial" w:hAnsi="Arial" w:cs="Arial"/>
                <w:b/>
                <w:sz w:val="24"/>
                <w:szCs w:val="24"/>
                <w:lang w:val="es-ES"/>
              </w:rPr>
              <w:t xml:space="preserve"> de estudio</w:t>
            </w:r>
            <w:r w:rsidR="00EF37AA">
              <w:rPr>
                <w:rFonts w:ascii="Arial" w:hAnsi="Arial" w:cs="Arial"/>
                <w:b/>
                <w:sz w:val="24"/>
                <w:szCs w:val="24"/>
                <w:lang w:val="es-ES"/>
              </w:rPr>
              <w:t xml:space="preserve">, </w:t>
            </w:r>
            <w:r w:rsidR="00F70DB9">
              <w:rPr>
                <w:rFonts w:ascii="Arial" w:hAnsi="Arial" w:cs="Arial"/>
                <w:b/>
                <w:sz w:val="24"/>
                <w:szCs w:val="24"/>
              </w:rPr>
              <w:t>Bibliografía y W</w:t>
            </w:r>
            <w:r w:rsidR="00F70DB9" w:rsidRPr="001934DA">
              <w:rPr>
                <w:rFonts w:ascii="Arial" w:hAnsi="Arial" w:cs="Arial"/>
                <w:b/>
                <w:sz w:val="24"/>
                <w:szCs w:val="24"/>
              </w:rPr>
              <w:t>ebgrafía</w:t>
            </w:r>
          </w:p>
        </w:tc>
      </w:tr>
      <w:tr w:rsidR="00CA4CE4" w14:paraId="10B8D0D4" w14:textId="77777777" w:rsidTr="00CA4CE4">
        <w:tc>
          <w:tcPr>
            <w:tcW w:w="8828" w:type="dxa"/>
          </w:tcPr>
          <w:sdt>
            <w:sdtPr>
              <w:rPr>
                <w:rFonts w:ascii="Arial" w:hAnsi="Arial" w:cs="Arial"/>
                <w:i/>
                <w:color w:val="262626" w:themeColor="text1" w:themeTint="D9"/>
              </w:rPr>
              <w:id w:val="-1013833100"/>
              <w:placeholder>
                <w:docPart w:val="DefaultPlaceholder_-1854013440"/>
              </w:placeholder>
            </w:sdtPr>
            <w:sdtEndPr/>
            <w:sdtContent>
              <w:p w14:paraId="4592183E" w14:textId="359CF758" w:rsidR="00073D81" w:rsidRPr="00073D81" w:rsidRDefault="00F70DB9" w:rsidP="00ED790E">
                <w:pPr>
                  <w:rPr>
                    <w:rFonts w:ascii="Arial" w:hAnsi="Arial" w:cs="Arial"/>
                    <w:sz w:val="24"/>
                    <w:szCs w:val="24"/>
                    <w:lang w:val="es-ES"/>
                  </w:rPr>
                </w:pPr>
                <w:r w:rsidRPr="000F4349">
                  <w:rPr>
                    <w:rFonts w:ascii="Arial" w:hAnsi="Arial" w:cs="Arial"/>
                    <w:i/>
                    <w:color w:val="262626" w:themeColor="text1" w:themeTint="D9"/>
                  </w:rPr>
                  <w:t xml:space="preserve">Uso de software </w:t>
                </w:r>
              </w:p>
            </w:sdtContent>
          </w:sdt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Bibliografía básica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Sommerville, I. (2011). Ingeniería de software (9.ª ed.). Pearson.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Pressman, R. &amp; Maxim, B. (2021). Ingeniería del software (8.ª ed.). McGraw-Hill.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IEEE Computer Society (2024). Guide to the SWEBOK v4.0.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Bibliografía complementaria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Humble, J. &amp; Farley, D. (2010). Continuous Delivery. Addison-Wesley.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Kim, G. et al. (2021). The DevOps Handbook (2nd ed.). IT Revolution.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Forsgren, N., Humble, J. &amp; Kim, G. (2018). Accelerate. IT Revolution.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Normas, estándares y documentación técnica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ISO/IEC/IEEE 12207 — Software life cycle.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ISO/IEC 25010 — Software quality.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OWASP Top 10 (2021).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ACM/IEEE-CS — Software Engineering Code of Ethics.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Webgrafía y recursos digitales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OWASP — https://owasp.org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Docker — https://docs.docker.com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GitHub Actions — https://docs.github.com/actions</w:t>
            </w:r>
          </w:p>
        </w:tc>
      </w:tr>
    </w:tbl>
    <w:p>
      <w:r>
        <w:rPr>
          <w:rFonts w:ascii="Arial" w:hAnsi="Arial"/>
          <w:b/>
          <w:sz w:val="24"/>
        </w:rPr>
        <w:t>Uso de software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419"/>
            <w:shd w:val="clear" w:fill="EAF1DD"/>
          </w:tcPr>
          <w:p>
            <w:r>
              <w:rPr>
                <w:rFonts w:ascii="Arial" w:hAnsi="Arial"/>
                <w:b/>
                <w:sz w:val="22"/>
              </w:rPr>
              <w:t>Herramienta</w:t>
            </w:r>
          </w:p>
        </w:tc>
        <w:tc>
          <w:tcPr>
            <w:tcW w:type="dxa" w:w="4419"/>
            <w:shd w:val="clear" w:fill="EAF1DD"/>
          </w:tcPr>
          <w:p>
            <w:r>
              <w:rPr>
                <w:rFonts w:ascii="Arial" w:hAnsi="Arial"/>
                <w:b/>
                <w:sz w:val="22"/>
              </w:rPr>
              <w:t>Justificación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Jira / MS Planner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Gestión de proyectos.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GitHub Actions / GitLab CI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Pipelines de CI/CD.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Docker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Contenerización.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SonarQube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Métricas de calidad y análisis estático.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OWASP ZAP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Pruebas de seguridad.</w:t>
            </w:r>
          </w:p>
        </w:tc>
      </w:tr>
    </w:tbl>
    <w:sectPr w:rsidR="00CA4CE4" w:rsidRPr="00CE3BB4" w:rsidSect="00F008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84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50D8A" w14:textId="77777777" w:rsidR="00F0085A" w:rsidRDefault="00F0085A">
      <w:pPr>
        <w:spacing w:after="0" w:line="240" w:lineRule="auto"/>
      </w:pPr>
      <w:r>
        <w:separator/>
      </w:r>
    </w:p>
  </w:endnote>
  <w:endnote w:type="continuationSeparator" w:id="0">
    <w:p w14:paraId="0D5B75D9" w14:textId="77777777" w:rsidR="00F0085A" w:rsidRDefault="00F0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1CCC5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8C08B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D9C0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5E8F" w14:textId="77777777" w:rsidR="00F0085A" w:rsidRDefault="00F0085A">
      <w:pPr>
        <w:spacing w:after="0" w:line="240" w:lineRule="auto"/>
      </w:pPr>
      <w:r>
        <w:separator/>
      </w:r>
    </w:p>
  </w:footnote>
  <w:footnote w:type="continuationSeparator" w:id="0">
    <w:p w14:paraId="1955ADD2" w14:textId="77777777" w:rsidR="00F0085A" w:rsidRDefault="00F00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2A03E" w14:textId="77777777" w:rsidR="001D2E9A" w:rsidRDefault="002859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eastAsia="es-CO"/>
      </w:rPr>
      <w:drawing>
        <wp:anchor distT="0" distB="0" distL="114300" distR="114300" simplePos="0" relativeHeight="251657728" behindDoc="1" locked="0" layoutInCell="1" hidden="0" allowOverlap="1" wp14:anchorId="66496762" wp14:editId="2910051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8750" cy="10070465"/>
          <wp:effectExtent l="0" t="0" r="0" b="0"/>
          <wp:wrapNone/>
          <wp:docPr id="157775138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10070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EE658" w14:textId="5184E8D8" w:rsidR="001D2E9A" w:rsidRDefault="00D62A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MX" w:eastAsia="en-US"/>
      </w:rPr>
    </w:r>
    <w:r w:rsidR="00D62A35">
      <w:rPr>
        <w:noProof/>
        <w:lang w:val="es-MX" w:eastAsia="en-US"/>
      </w:rPr>
      <w:pict w14:anchorId="72E590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8473018" o:spid="_x0000_s1025" type="#_x0000_t75" alt="" style="position:absolute;margin-left:-86.8pt;margin-top:-34.5pt;width:612.5pt;height:792.95pt;z-index:-251657728;mso-wrap-edited:f;mso-width-percent:0;mso-height-percent:0;mso-position-horizontal-relative:margin;mso-position-vertical-relative:text;mso-width-percent:0;mso-height-percent:0" o:allowincell="f">
          <v:imagedata r:id="rId1" o:title="membrete"/>
          <w10:wrap anchorx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90FE" w14:textId="77777777" w:rsidR="001D2E9A" w:rsidRDefault="002859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eastAsia="es-CO"/>
      </w:rPr>
      <w:drawing>
        <wp:anchor distT="0" distB="0" distL="114300" distR="114300" simplePos="0" relativeHeight="251656704" behindDoc="1" locked="0" layoutInCell="1" hidden="0" allowOverlap="1" wp14:anchorId="3BC5D6D2" wp14:editId="2FCF19D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8750" cy="10070465"/>
          <wp:effectExtent l="0" t="0" r="0" b="0"/>
          <wp:wrapNone/>
          <wp:docPr id="16991890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10070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1" w15:restartNumberingAfterBreak="0">
    <w:nsid w:val="06DB1FF5"/>
    <w:multiLevelType w:val="hybridMultilevel"/>
    <w:tmpl w:val="511CEF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87EF6"/>
    <w:multiLevelType w:val="hybridMultilevel"/>
    <w:tmpl w:val="023C342E"/>
    <w:lvl w:ilvl="0" w:tplc="1E6C9F8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6EA3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F4FD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E61D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3811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26B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606B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9CC7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2C64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E1107"/>
    <w:multiLevelType w:val="hybridMultilevel"/>
    <w:tmpl w:val="87AAFDBE"/>
    <w:lvl w:ilvl="0" w:tplc="17EC35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77BD7"/>
    <w:multiLevelType w:val="hybridMultilevel"/>
    <w:tmpl w:val="77EC2D14"/>
    <w:lvl w:ilvl="0" w:tplc="B1FED6E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CE0291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4C849C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FC0A2F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1B264C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06E5B6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6F8445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8A0230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7C2EAD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363C47AC"/>
    <w:multiLevelType w:val="hybridMultilevel"/>
    <w:tmpl w:val="C9E27F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387E3F"/>
    <w:multiLevelType w:val="hybridMultilevel"/>
    <w:tmpl w:val="CA304E40"/>
    <w:lvl w:ilvl="0" w:tplc="621E99E2">
      <w:start w:val="1"/>
      <w:numFmt w:val="decimal"/>
      <w:lvlText w:val="RA%1."/>
      <w:lvlJc w:val="center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F13AD"/>
    <w:multiLevelType w:val="hybridMultilevel"/>
    <w:tmpl w:val="9E34B460"/>
    <w:lvl w:ilvl="0" w:tplc="98C4FB94">
      <w:start w:val="1"/>
      <w:numFmt w:val="decimal"/>
      <w:lvlText w:val="UNIDAD %1."/>
      <w:lvlJc w:val="center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D2D29"/>
    <w:multiLevelType w:val="hybridMultilevel"/>
    <w:tmpl w:val="17FA4522"/>
    <w:lvl w:ilvl="0" w:tplc="1854D57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27336"/>
    <w:multiLevelType w:val="hybridMultilevel"/>
    <w:tmpl w:val="44C6DB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02EDA"/>
    <w:multiLevelType w:val="multilevel"/>
    <w:tmpl w:val="35E857A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C5870C6"/>
    <w:multiLevelType w:val="hybridMultilevel"/>
    <w:tmpl w:val="6E1A7C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0A719D"/>
    <w:multiLevelType w:val="hybridMultilevel"/>
    <w:tmpl w:val="CE66A470"/>
    <w:lvl w:ilvl="0" w:tplc="D85CCF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46A1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2AAF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EE8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BA17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68E2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1290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BA80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620B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D462C"/>
    <w:multiLevelType w:val="hybridMultilevel"/>
    <w:tmpl w:val="B222779A"/>
    <w:lvl w:ilvl="0" w:tplc="5A4EBD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6189B"/>
    <w:multiLevelType w:val="hybridMultilevel"/>
    <w:tmpl w:val="2FDA4948"/>
    <w:lvl w:ilvl="0" w:tplc="DC3A2BB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2C4C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08A8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8C1A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567A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8631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54C8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C04B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42FF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472031">
    <w:abstractNumId w:val="8"/>
  </w:num>
  <w:num w:numId="2" w16cid:durableId="653950162">
    <w:abstractNumId w:val="11"/>
  </w:num>
  <w:num w:numId="3" w16cid:durableId="180778776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 w16cid:durableId="362286973">
    <w:abstractNumId w:val="13"/>
  </w:num>
  <w:num w:numId="5" w16cid:durableId="1926913251">
    <w:abstractNumId w:val="1"/>
  </w:num>
  <w:num w:numId="6" w16cid:durableId="2098750665">
    <w:abstractNumId w:val="9"/>
  </w:num>
  <w:num w:numId="7" w16cid:durableId="135027283">
    <w:abstractNumId w:val="14"/>
  </w:num>
  <w:num w:numId="8" w16cid:durableId="527721308">
    <w:abstractNumId w:val="4"/>
  </w:num>
  <w:num w:numId="9" w16cid:durableId="170066253">
    <w:abstractNumId w:val="12"/>
  </w:num>
  <w:num w:numId="10" w16cid:durableId="1280642711">
    <w:abstractNumId w:val="2"/>
  </w:num>
  <w:num w:numId="11" w16cid:durableId="638849109">
    <w:abstractNumId w:val="6"/>
  </w:num>
  <w:num w:numId="12" w16cid:durableId="1700008445">
    <w:abstractNumId w:val="7"/>
  </w:num>
  <w:num w:numId="13" w16cid:durableId="1544906852">
    <w:abstractNumId w:val="3"/>
  </w:num>
  <w:num w:numId="14" w16cid:durableId="1633487623">
    <w:abstractNumId w:val="5"/>
  </w:num>
  <w:num w:numId="15" w16cid:durableId="8786647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E9A"/>
    <w:rsid w:val="00020B02"/>
    <w:rsid w:val="000231D0"/>
    <w:rsid w:val="0004442F"/>
    <w:rsid w:val="00056C5D"/>
    <w:rsid w:val="000575F8"/>
    <w:rsid w:val="0006760E"/>
    <w:rsid w:val="00073D81"/>
    <w:rsid w:val="000957D3"/>
    <w:rsid w:val="000B05B3"/>
    <w:rsid w:val="000D7317"/>
    <w:rsid w:val="000F1AF0"/>
    <w:rsid w:val="000F4349"/>
    <w:rsid w:val="00103007"/>
    <w:rsid w:val="001047BF"/>
    <w:rsid w:val="001934DA"/>
    <w:rsid w:val="001C212B"/>
    <w:rsid w:val="001D1D19"/>
    <w:rsid w:val="001D2E9A"/>
    <w:rsid w:val="00216302"/>
    <w:rsid w:val="0022253B"/>
    <w:rsid w:val="00285971"/>
    <w:rsid w:val="00296595"/>
    <w:rsid w:val="0032452B"/>
    <w:rsid w:val="00346F88"/>
    <w:rsid w:val="003942B8"/>
    <w:rsid w:val="003B54D0"/>
    <w:rsid w:val="003C0299"/>
    <w:rsid w:val="003C46B3"/>
    <w:rsid w:val="00421EF3"/>
    <w:rsid w:val="00486321"/>
    <w:rsid w:val="004931BE"/>
    <w:rsid w:val="00494423"/>
    <w:rsid w:val="004B27ED"/>
    <w:rsid w:val="004F71D9"/>
    <w:rsid w:val="00502F8E"/>
    <w:rsid w:val="00522245"/>
    <w:rsid w:val="00530A7C"/>
    <w:rsid w:val="00571AE7"/>
    <w:rsid w:val="005744FB"/>
    <w:rsid w:val="005819D4"/>
    <w:rsid w:val="00585BC5"/>
    <w:rsid w:val="005A6ED6"/>
    <w:rsid w:val="005C5FDA"/>
    <w:rsid w:val="005D6DC9"/>
    <w:rsid w:val="00626156"/>
    <w:rsid w:val="006518A6"/>
    <w:rsid w:val="006558C4"/>
    <w:rsid w:val="00696E06"/>
    <w:rsid w:val="006A35AA"/>
    <w:rsid w:val="006B6735"/>
    <w:rsid w:val="006B6852"/>
    <w:rsid w:val="006D345D"/>
    <w:rsid w:val="00732164"/>
    <w:rsid w:val="007D64D9"/>
    <w:rsid w:val="007E5807"/>
    <w:rsid w:val="007E6515"/>
    <w:rsid w:val="007F432B"/>
    <w:rsid w:val="00800622"/>
    <w:rsid w:val="00831D9F"/>
    <w:rsid w:val="0087505A"/>
    <w:rsid w:val="00890516"/>
    <w:rsid w:val="00891BAB"/>
    <w:rsid w:val="008A0CD3"/>
    <w:rsid w:val="008A43C0"/>
    <w:rsid w:val="00937600"/>
    <w:rsid w:val="009666D2"/>
    <w:rsid w:val="009854A7"/>
    <w:rsid w:val="009C7C53"/>
    <w:rsid w:val="00A16307"/>
    <w:rsid w:val="00A24839"/>
    <w:rsid w:val="00A367E1"/>
    <w:rsid w:val="00A62D8A"/>
    <w:rsid w:val="00A85606"/>
    <w:rsid w:val="00A863A2"/>
    <w:rsid w:val="00A94BE3"/>
    <w:rsid w:val="00AB5DA9"/>
    <w:rsid w:val="00AB6B68"/>
    <w:rsid w:val="00AC01E1"/>
    <w:rsid w:val="00AE1101"/>
    <w:rsid w:val="00B252E6"/>
    <w:rsid w:val="00B35DCF"/>
    <w:rsid w:val="00B631C8"/>
    <w:rsid w:val="00BB4E39"/>
    <w:rsid w:val="00BC7CAF"/>
    <w:rsid w:val="00BD290F"/>
    <w:rsid w:val="00BE0407"/>
    <w:rsid w:val="00BE780C"/>
    <w:rsid w:val="00C25B45"/>
    <w:rsid w:val="00C5553C"/>
    <w:rsid w:val="00C67435"/>
    <w:rsid w:val="00CA4CE4"/>
    <w:rsid w:val="00CC3838"/>
    <w:rsid w:val="00CE3BB4"/>
    <w:rsid w:val="00D3153D"/>
    <w:rsid w:val="00D422DA"/>
    <w:rsid w:val="00D4656D"/>
    <w:rsid w:val="00D55956"/>
    <w:rsid w:val="00D62A35"/>
    <w:rsid w:val="00D96FED"/>
    <w:rsid w:val="00E05798"/>
    <w:rsid w:val="00E168E6"/>
    <w:rsid w:val="00E20389"/>
    <w:rsid w:val="00E22904"/>
    <w:rsid w:val="00E34C64"/>
    <w:rsid w:val="00E35784"/>
    <w:rsid w:val="00EA11E9"/>
    <w:rsid w:val="00EC18BF"/>
    <w:rsid w:val="00ED790E"/>
    <w:rsid w:val="00EF37AA"/>
    <w:rsid w:val="00F0085A"/>
    <w:rsid w:val="00F64A5A"/>
    <w:rsid w:val="00F70DB9"/>
    <w:rsid w:val="00FA06C3"/>
    <w:rsid w:val="00FB0757"/>
    <w:rsid w:val="00FB2E08"/>
    <w:rsid w:val="00FB6422"/>
    <w:rsid w:val="00FC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15991"/>
  <w15:docId w15:val="{B1BA1AC9-6571-2547-AB7B-AABA6EF9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link w:val="PrrafodelistaCar"/>
    <w:uiPriority w:val="34"/>
    <w:qFormat/>
    <w:rsid w:val="007E580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937600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A6ED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Logro">
    <w:name w:val="Logro"/>
    <w:basedOn w:val="Textoindependiente"/>
    <w:rsid w:val="005A6ED6"/>
    <w:pPr>
      <w:numPr>
        <w:numId w:val="3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eastAsia="Times New Roman" w:hAnsi="Garamond" w:cs="Times New Roman"/>
      <w:szCs w:val="20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5A6ED6"/>
    <w:rPr>
      <w:rFonts w:asciiTheme="minorHAnsi" w:eastAsiaTheme="minorHAnsi" w:hAnsiTheme="minorHAnsi" w:cstheme="minorBidi"/>
      <w:lang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A6ED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A6ED6"/>
  </w:style>
  <w:style w:type="table" w:styleId="Tablaconcuadrcula">
    <w:name w:val="Table Grid"/>
    <w:basedOn w:val="Tablanormal"/>
    <w:uiPriority w:val="39"/>
    <w:rsid w:val="00732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732164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FB0757"/>
    <w:rPr>
      <w:color w:val="800080" w:themeColor="followedHyperlink"/>
      <w:u w:val="single"/>
    </w:rPr>
  </w:style>
  <w:style w:type="table" w:customStyle="1" w:styleId="TableGrid">
    <w:name w:val="TableGrid"/>
    <w:rsid w:val="00E22904"/>
    <w:pPr>
      <w:spacing w:after="0" w:line="240" w:lineRule="auto"/>
    </w:pPr>
    <w:rPr>
      <w:rFonts w:asciiTheme="minorHAnsi" w:eastAsiaTheme="minorEastAsia" w:hAnsiTheme="minorHAnsi" w:cstheme="minorBidi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863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801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78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212">
          <w:marLeft w:val="126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6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595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CE98D-255C-42BC-B509-67D91722B822}"/>
      </w:docPartPr>
      <w:docPartBody>
        <w:p w:rsidR="005875AD" w:rsidRDefault="005875AD">
          <w:r w:rsidRPr="00E1358A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AD"/>
    <w:rsid w:val="005875AD"/>
    <w:rsid w:val="00C6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875A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41B43-716B-4DCC-85D5-01CEF2864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620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Manizales</Company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Apoyo Dirección Docencia 2</dc:creator>
  <cp:lastModifiedBy>Ingeniería de Sistemas y Telecomunicaciones</cp:lastModifiedBy>
  <cp:revision>29</cp:revision>
  <dcterms:created xsi:type="dcterms:W3CDTF">2023-06-09T14:55:00Z</dcterms:created>
  <dcterms:modified xsi:type="dcterms:W3CDTF">2024-05-08T21:05:00Z</dcterms:modified>
</cp:coreProperties>
</file>