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b/>
          <w:bCs/>
          <w:color w:val="6B7280"/>
          <w:sz w:val="22"/>
          <w:szCs w:val="22"/>
        </w:rPr>
        <w:t xml:space="preserve">VENTEX APP</w:t>
      </w:r>
    </w:p>
    <w:p>
      <w:pPr>
        <w:spacing w:after="100"/>
      </w:pPr>
      <w:r>
        <w:rPr>
          <w:b/>
          <w:bCs/>
          <w:color w:val="1F2937"/>
          <w:sz w:val="44"/>
          <w:szCs w:val="44"/>
        </w:rPr>
        <w:t xml:space="preserve">Auditoría UX/UI de Navegación</w:t>
      </w:r>
    </w:p>
    <w:p>
      <w:pPr>
        <w:spacing w:after="300"/>
      </w:pPr>
      <w:r>
        <w:rPr>
          <w:color w:val="5B4FE5"/>
          <w:sz w:val="24"/>
          <w:szCs w:val="24"/>
        </w:rPr>
        <w:t xml:space="preserve">Menú principal: hallazgos y propuesta de arquitectura de información</w:t>
      </w:r>
    </w:p>
    <w:p>
      <w:pPr>
        <w:spacing w:after="40"/>
      </w:pPr>
      <w:r>
        <w:rPr>
          <w:color w:val="6B7280"/>
          <w:sz w:val="20"/>
          <w:szCs w:val="20"/>
        </w:rPr>
        <w:t xml:space="preserve">Preparado para: Equipo de desarrollo de Ventex App</w:t>
      </w:r>
    </w:p>
    <w:p>
      <w:pPr>
        <w:spacing w:after="40"/>
      </w:pPr>
      <w:r>
        <w:rPr>
          <w:color w:val="6B7280"/>
          <w:sz w:val="20"/>
          <w:szCs w:val="20"/>
        </w:rPr>
        <w:t xml:space="preserve">Revisión: UX/UI Senior — auditoría heurística de navegación</w:t>
      </w:r>
    </w:p>
    <w:p>
      <w:pPr>
        <w:spacing w:after="400"/>
      </w:pPr>
      <w:r>
        <w:rPr>
          <w:color w:val="6B7280"/>
          <w:sz w:val="20"/>
          <w:szCs w:val="20"/>
        </w:rPr>
        <w:t xml:space="preserve">Fecha: 15 de agosto de 2026</w:t>
      </w:r>
    </w:p>
    <w:p>
      <w:pPr>
        <w:pStyle w:val="Heading1"/>
        <w:pBdr>
          <w:bottom w:val="single" w:color="5B4FE5" w:sz="6" w:space="4"/>
        </w:pBdr>
        <w:spacing w:after="160" w:before="360"/>
      </w:pPr>
      <w:r>
        <w:rPr>
          <w:b/>
          <w:bCs/>
          <w:color w:val="5B4FE5"/>
          <w:sz w:val="30"/>
          <w:szCs w:val="30"/>
        </w:rPr>
        <w:t xml:space="preserve">1. Resumen ejecutivo</w:t>
      </w:r>
    </w:p>
    <w:p>
      <w:pPr>
        <w:spacing w:after="160" w:line="276"/>
      </w:pPr>
      <w:r>
        <w:rPr>
          <w:color w:val="1F2937"/>
          <w:sz w:val="21"/>
          <w:szCs w:val="21"/>
        </w:rPr>
        <w:t xml:space="preserve">El menú principal de Ventex App presenta 13 secciones en una sola lista plana, sin agrupación visual ni jerarquía. Esto supera el límite recomendado (~7 ítems) para navegación primaria y genera problemas de escaneabilidad, redundancia de funciones (por ejemplo, “Categorías” duplica una acción ya disponible dentro de “Producto - Servicio”) y páginas que mezclan tareas distintas bajo un mismo ítem de menú (por ejemplo, “Personal” combina gestión de equipo, control de accesos y reporte financiero de comisiones).</w:t>
      </w:r>
    </w:p>
    <w:p>
      <w:pPr>
        <w:spacing w:after="160" w:line="276"/>
      </w:pPr>
      <w:r>
        <w:rPr>
          <w:color w:val="1F2937"/>
          <w:sz w:val="21"/>
          <w:szCs w:val="21"/>
        </w:rPr>
        <w:t xml:space="preserve">Recomendación central: migrar a un menú agrupado por dominio de tarea (Ventas, Agenda y Clientes, Catálogo, Compras, Finanzas, Equipo, Negocio) con un solo nivel de submenú. El ejemplo que planteaba el equipo — “Personal” como grupo con “Comisiones” adentro — es exactamente el patrón correcto, y se puede extender con el mismo criterio al resto de la navegación.</w:t>
      </w:r>
    </w:p>
    <w:p>
      <w:pPr>
        <w:pStyle w:val="Heading1"/>
        <w:pBdr>
          <w:bottom w:val="single" w:color="5B4FE5" w:sz="6" w:space="4"/>
        </w:pBdr>
        <w:spacing w:after="160" w:before="360"/>
      </w:pPr>
      <w:r>
        <w:rPr>
          <w:b/>
          <w:bCs/>
          <w:color w:val="5B4FE5"/>
          <w:sz w:val="30"/>
          <w:szCs w:val="30"/>
        </w:rPr>
        <w:t xml:space="preserve">2. Alcance y metodología</w:t>
      </w:r>
    </w:p>
    <w:p>
      <w:pPr>
        <w:spacing w:after="160" w:line="276"/>
      </w:pPr>
      <w:r>
        <w:rPr>
          <w:color w:val="1F2937"/>
          <w:sz w:val="21"/>
          <w:szCs w:val="21"/>
        </w:rPr>
        <w:t xml:space="preserve">Se realizó un recorrido completo de la aplicación en ejecución (Panel, Punto de Venta, Calendario, Clientes, Ventas, Gastos, Producto - Servicio, Categorías, Pedidos, Proveedores, Compras, Personal, Mi Plan y Configuración, además de los accesos rápidos de la barra superior) para documentar el contenido real de cada sección antes de proponer cambios. El análisis se apoya en heurísticas de usabilidad estándar (Nielsen Norman Group) y en patrones de navegación de referencia para software de gestión (SaaS B2B / POS).</w:t>
      </w:r>
    </w:p>
    <w:p>
      <w:pPr>
        <w:pStyle w:val="Heading1"/>
        <w:pBdr>
          <w:bottom w:val="single" w:color="5B4FE5" w:sz="6" w:space="4"/>
        </w:pBdr>
        <w:spacing w:after="160" w:before="360"/>
      </w:pPr>
      <w:r>
        <w:rPr>
          <w:b/>
          <w:bCs/>
          <w:color w:val="5B4FE5"/>
          <w:sz w:val="30"/>
          <w:szCs w:val="30"/>
        </w:rPr>
        <w:t xml:space="preserve">3. Inventario del menú actual</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5B4FE5" w:val="clear"/>
            <w:tcMar>
              <w:top w:type="dxa" w:w="100"/>
              <w:left w:type="dxa" w:w="120"/>
              <w:bottom w:type="dxa" w:w="100"/>
              <w:right w:type="dxa" w:w="120"/>
            </w:tcMar>
            <w:vAlign w:val="center"/>
          </w:tcPr>
          <w:p>
            <w:pPr>
              <w:jc w:val="left"/>
            </w:pPr>
            <w:r>
              <w:rPr>
                <w:b/>
                <w:bCs/>
                <w:color w:val="FFFFFF"/>
                <w:sz w:val="19"/>
                <w:szCs w:val="19"/>
              </w:rPr>
              <w:t xml:space="preserve">Ítem del menú</w:t>
            </w:r>
          </w:p>
        </w:tc>
        <w:tc>
          <w:tcPr>
            <w:tcW w:type="dxa" w:w="6700"/>
            <w:shd w:fill="5B4FE5" w:val="clear"/>
            <w:tcMar>
              <w:top w:type="dxa" w:w="100"/>
              <w:left w:type="dxa" w:w="120"/>
              <w:bottom w:type="dxa" w:w="100"/>
              <w:right w:type="dxa" w:w="120"/>
            </w:tcMar>
            <w:vAlign w:val="center"/>
          </w:tcPr>
          <w:p>
            <w:pPr>
              <w:jc w:val="left"/>
            </w:pPr>
            <w:r>
              <w:rPr>
                <w:b/>
                <w:bCs/>
                <w:color w:val="FFFFFF"/>
                <w:sz w:val="19"/>
                <w:szCs w:val="19"/>
              </w:rPr>
              <w:t xml:space="preserve">Qué contiene hoy</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1. Panel</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Dashboard: accesos rápidos (Nueva Venta, Registrar Cliente, Nueva Cita, Nuevo Servicio) + KPIs + gráfico ingresos vs. gastos + movimientos recientes + gastos por categoría.</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2. Punto de Venta</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Pantalla de cobro (POS): catálogo, carrito y factura de venta.</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3. Calendario</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Agenda de citas: vista mes/semana/día, filtro por barbero.</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4. Clientes</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Directorio de clientes.</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5. Ventas</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Historial/reporte de ventas ya realizadas, con filtros de fecha y método de pago.</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6. Gastos</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Registro y reporte de gastos, incluye “Categorías de gasto” propias (distintas a las de producto) y gráfico por categoría.</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7. Producto - Servicio</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Catálogo de productos y servicios, inventario, costos y precios. Incluye botón “+ Nueva Categoría”.</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8. Categorías</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CRUD de categorías de producto — 100% redundante con el botón del ítem anterior.</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9. Pedidos</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“Pedidos y Órdenes de Compra”: sugerencias de reposición por stock bajo.</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10. Proveedores</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Directorio de proveedores.</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11. Compras</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Facturas de compra a proveedores.</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12. Personal</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Roster del equipo, cargo, control de acceso al sistema (“Dar acceso”), liquidación de comisión por persona y tabla “Comisiones del mes”.</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13. Mi Plan</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Plan de suscripción, consumo del mes, opciones de upgrade.</w:t>
            </w:r>
          </w:p>
        </w:tc>
      </w:tr>
      <w:tr>
        <w:tc>
          <w:tcPr>
            <w:tcW w:type="dxa" w:w="26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Configuración (pie de barra)</w:t>
            </w:r>
          </w:p>
        </w:tc>
        <w:tc>
          <w:tcPr>
            <w:tcW w:type="dxa" w:w="6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Ajustes generales del negocio: facturación/IVA, medios de pago, datos del negocio, sitio web.</w:t>
            </w:r>
          </w:p>
        </w:tc>
      </w:tr>
      <w:tr>
        <w:tc>
          <w:tcPr>
            <w:tcW w:type="dxa" w:w="2600"/>
            <w:tcMar>
              <w:top w:type="dxa" w:w="100"/>
              <w:left w:type="dxa" w:w="120"/>
              <w:bottom w:type="dxa" w:w="100"/>
              <w:right w:type="dxa" w:w="120"/>
            </w:tcMar>
            <w:vAlign w:val="center"/>
          </w:tcPr>
          <w:p>
            <w:pPr>
              <w:jc w:val="left"/>
            </w:pPr>
            <w:r>
              <w:rPr>
                <w:b w:val="false"/>
                <w:bCs w:val="false"/>
                <w:color w:val="1F2937"/>
                <w:sz w:val="19"/>
                <w:szCs w:val="19"/>
              </w:rPr>
              <w:t xml:space="preserve">Barra superior</w:t>
            </w:r>
          </w:p>
        </w:tc>
        <w:tc>
          <w:tcPr>
            <w:tcW w:type="dxa" w:w="6700"/>
            <w:tcMar>
              <w:top w:type="dxa" w:w="100"/>
              <w:left w:type="dxa" w:w="120"/>
              <w:bottom w:type="dxa" w:w="100"/>
              <w:right w:type="dxa" w:w="120"/>
            </w:tcMar>
            <w:vAlign w:val="center"/>
          </w:tcPr>
          <w:p>
            <w:pPr>
              <w:jc w:val="left"/>
            </w:pPr>
            <w:r>
              <w:rPr>
                <w:b w:val="false"/>
                <w:bCs w:val="false"/>
                <w:color w:val="1F2937"/>
                <w:sz w:val="19"/>
                <w:szCs w:val="19"/>
              </w:rPr>
              <w:t xml:space="preserve">Buscador global, selector de negocio, “Ver sitio web”, acceso rápido a “Registrar gasto” (ícono billetera), calculadora, modo oscuro, notificaciones, ayuda y menú de usuario (“Ajustes de Perfil”, “Cerrar sesión”).</w:t>
            </w:r>
          </w:p>
        </w:tc>
      </w:tr>
    </w:tbl>
    <w:p>
      <w:pPr>
        <w:spacing w:after="200"/>
      </w:pPr>
    </w:p>
    <w:p>
      <w:pPr>
        <w:pStyle w:val="Heading1"/>
        <w:pBdr>
          <w:bottom w:val="single" w:color="5B4FE5" w:sz="6" w:space="4"/>
        </w:pBdr>
        <w:spacing w:after="160" w:before="360"/>
      </w:pPr>
      <w:r>
        <w:rPr>
          <w:b/>
          <w:bCs/>
          <w:color w:val="5B4FE5"/>
          <w:sz w:val="30"/>
          <w:szCs w:val="30"/>
        </w:rPr>
        <w:t xml:space="preserve">4. Hallazgos</w:t>
      </w:r>
    </w:p>
    <w:p>
      <w:pPr>
        <w:spacing w:after="40" w:before="300"/>
      </w:pPr>
      <w:r>
        <w:rPr>
          <w:b/>
          <w:bCs/>
          <w:color w:val="1F2937"/>
          <w:sz w:val="23"/>
          <w:szCs w:val="23"/>
        </w:rPr>
        <w:t xml:space="preserve">H1 — Menú plano con demasiados ítems de primer nivel</w:t>
      </w:r>
      <w:r>
        <w:rPr>
          <w:b/>
          <w:bCs/>
          <w:color w:val="C0392B"/>
          <w:sz w:val="19"/>
          <w:szCs w:val="19"/>
        </w:rPr>
        <w:t xml:space="preserve">   [Prioridad Alta]</w:t>
      </w:r>
    </w:p>
    <w:p>
      <w:pPr>
        <w:spacing w:after="80"/>
      </w:pPr>
      <w:r>
        <w:rPr>
          <w:i/>
          <w:iCs/>
          <w:color w:val="6B7280"/>
          <w:sz w:val="19"/>
          <w:szCs w:val="19"/>
        </w:rPr>
        <w:t xml:space="preserve">Heurística afectada: Reconocer antes que recordar / Ley de Miller</w:t>
      </w:r>
    </w:p>
    <w:p>
      <w:pPr>
        <w:spacing w:after="160" w:line="276"/>
      </w:pPr>
      <w:r>
        <w:rPr>
          <w:color w:val="1F2937"/>
          <w:sz w:val="21"/>
          <w:szCs w:val="21"/>
        </w:rPr>
        <w:t xml:space="preserve">13 ítems al mismo nivel jerárquico obligan a escanear la lista completa cada vez, sin agrupación por tarea. Los productos de referencia (Shopify, Notion, Linear) agrupan en 5-7 clústeres cuando superan 8-9 secciones. Si además se colapsa la barra lateral (el ícono « ya existe para eso), quedan 13 íconos casi idénticos y sin etiqueta, difíciles de distinguir entre sí.</w:t>
      </w:r>
    </w:p>
    <w:p>
      <w:pPr>
        <w:spacing w:after="40" w:before="300"/>
      </w:pPr>
      <w:r>
        <w:rPr>
          <w:b/>
          <w:bCs/>
          <w:color w:val="1F2937"/>
          <w:sz w:val="23"/>
          <w:szCs w:val="23"/>
        </w:rPr>
        <w:t xml:space="preserve">H2 — “Categorías” es un ítem de menú redundante</w:t>
      </w:r>
      <w:r>
        <w:rPr>
          <w:b/>
          <w:bCs/>
          <w:color w:val="C0392B"/>
          <w:sz w:val="19"/>
          <w:szCs w:val="19"/>
        </w:rPr>
        <w:t xml:space="preserve">   [Prioridad Alta]</w:t>
      </w:r>
    </w:p>
    <w:p>
      <w:pPr>
        <w:spacing w:after="80"/>
      </w:pPr>
      <w:r>
        <w:rPr>
          <w:i/>
          <w:iCs/>
          <w:color w:val="6B7280"/>
          <w:sz w:val="19"/>
          <w:szCs w:val="19"/>
        </w:rPr>
        <w:t xml:space="preserve">Heurística afectada: Consistencia y estándares / Minimalismo estético</w:t>
      </w:r>
    </w:p>
    <w:p>
      <w:pPr>
        <w:spacing w:after="160" w:line="276"/>
      </w:pPr>
      <w:r>
        <w:rPr>
          <w:color w:val="1F2937"/>
          <w:sz w:val="21"/>
          <w:szCs w:val="21"/>
        </w:rPr>
        <w:t xml:space="preserve">“Categorías” solo administra categorías de producto, función que ya vive dentro de “Producto - Servicio” (botón “+ Nueva Categoría” y filtro “Categoría”). Dedicar un ítem completo de primer nivel a una tabla auxiliar de baja frecuencia le resta jerarquía visual a las secciones más usadas. Quick win de bajo esfuerzo.</w:t>
      </w:r>
    </w:p>
    <w:p>
      <w:pPr>
        <w:spacing w:after="40" w:before="300"/>
      </w:pPr>
      <w:r>
        <w:rPr>
          <w:b/>
          <w:bCs/>
          <w:color w:val="1F2937"/>
          <w:sz w:val="23"/>
          <w:szCs w:val="23"/>
        </w:rPr>
        <w:t xml:space="preserve">H3 — Colisión de nombres: “Categorías” vs. “Categorías de gasto”</w:t>
      </w:r>
      <w:r>
        <w:rPr>
          <w:b/>
          <w:bCs/>
          <w:color w:val="B7791F"/>
          <w:sz w:val="19"/>
          <w:szCs w:val="19"/>
        </w:rPr>
        <w:t xml:space="preserve">   [Prioridad Media]</w:t>
      </w:r>
    </w:p>
    <w:p>
      <w:pPr>
        <w:spacing w:after="80"/>
      </w:pPr>
      <w:r>
        <w:rPr>
          <w:i/>
          <w:iCs/>
          <w:color w:val="6B7280"/>
          <w:sz w:val="19"/>
          <w:szCs w:val="19"/>
        </w:rPr>
        <w:t xml:space="preserve">Heurística afectada: Coherencia y estándares</w:t>
      </w:r>
    </w:p>
    <w:p>
      <w:pPr>
        <w:spacing w:after="160" w:line="276"/>
      </w:pPr>
      <w:r>
        <w:rPr>
          <w:color w:val="1F2937"/>
          <w:sz w:val="21"/>
          <w:szCs w:val="21"/>
        </w:rPr>
        <w:t xml:space="preserve">Dentro de “Gastos” existe otra entidad llamada “Categorías de gasto”, con su propio botón “Nueva categoría”. Dos modelos de datos distintos comparten el mismo nombre en dos lugares distintos del producto: riesgo real de que el usuario cree una categoría en el lugar equivocado o asuma que están sincronizadas.</w:t>
      </w:r>
    </w:p>
    <w:p>
      <w:pPr>
        <w:spacing w:after="40" w:before="300"/>
      </w:pPr>
      <w:r>
        <w:rPr>
          <w:b/>
          <w:bCs/>
          <w:color w:val="1F2937"/>
          <w:sz w:val="23"/>
          <w:szCs w:val="23"/>
        </w:rPr>
        <w:t xml:space="preserve">H4 — “Personal” mezcla tres tareas distintas en una sola pantalla</w:t>
      </w:r>
      <w:r>
        <w:rPr>
          <w:b/>
          <w:bCs/>
          <w:color w:val="C0392B"/>
          <w:sz w:val="19"/>
          <w:szCs w:val="19"/>
        </w:rPr>
        <w:t xml:space="preserve">   [Prioridad Alta]</w:t>
      </w:r>
    </w:p>
    <w:p>
      <w:pPr>
        <w:spacing w:after="80"/>
      </w:pPr>
      <w:r>
        <w:rPr>
          <w:i/>
          <w:iCs/>
          <w:color w:val="6B7280"/>
          <w:sz w:val="19"/>
          <w:szCs w:val="19"/>
        </w:rPr>
        <w:t xml:space="preserve">Heurística afectada: Correspondencia entre el sistema y el mundo real / Carga cognitiva</w:t>
      </w:r>
    </w:p>
    <w:p>
      <w:pPr>
        <w:spacing w:after="160" w:line="276"/>
      </w:pPr>
      <w:r>
        <w:rPr>
          <w:color w:val="1F2937"/>
          <w:sz w:val="21"/>
          <w:szCs w:val="21"/>
        </w:rPr>
        <w:t xml:space="preserve">La página actual combina: (a) alta y datos del colaborador, (b) control de acceso al sistema (“Dar acceso” / “No entra al sistema”) y (c) liquidación y reporte financiero de comisiones (“Liquidar comisión”, tabla “Comisiones del mes”). Son tres trabajos distintos —administrar equipo, gestionar permisos, conciliar pagos— que hoy obligan a hacer scroll por una sola página larga. Este hallazgo confirma la intuición del equipo: “Comisiones” merece ser una subsección o tab propia dentro de “Personal” (o “Equipo”), no una tabla al final de la página.</w:t>
      </w:r>
    </w:p>
    <w:p>
      <w:pPr>
        <w:spacing w:after="40" w:before="300"/>
      </w:pPr>
      <w:r>
        <w:rPr>
          <w:b/>
          <w:bCs/>
          <w:color w:val="1F2937"/>
          <w:sz w:val="23"/>
          <w:szCs w:val="23"/>
        </w:rPr>
        <w:t xml:space="preserve">H5 — El flujo de compras está fragmentado en 3 ítems sin relación visible</w:t>
      </w:r>
      <w:r>
        <w:rPr>
          <w:b/>
          <w:bCs/>
          <w:color w:val="B7791F"/>
          <w:sz w:val="19"/>
          <w:szCs w:val="19"/>
        </w:rPr>
        <w:t xml:space="preserve">   [Prioridad Media]</w:t>
      </w:r>
    </w:p>
    <w:p>
      <w:pPr>
        <w:spacing w:after="80"/>
      </w:pPr>
      <w:r>
        <w:rPr>
          <w:i/>
          <w:iCs/>
          <w:color w:val="6B7280"/>
          <w:sz w:val="19"/>
          <w:szCs w:val="19"/>
        </w:rPr>
        <w:t xml:space="preserve">Heurística afectada: Correspondencia entre el sistema y el mundo real</w:t>
      </w:r>
    </w:p>
    <w:p>
      <w:pPr>
        <w:spacing w:after="160" w:line="276"/>
      </w:pPr>
      <w:r>
        <w:rPr>
          <w:color w:val="1F2937"/>
          <w:sz w:val="21"/>
          <w:szCs w:val="21"/>
        </w:rPr>
        <w:t xml:space="preserve">“Pedidos” (sugerencias de reposición), “Proveedores” (directorio) y “Compras” (facturas) son, en la práctica, un mismo flujo secuencial: detectar stock bajo → generar pedido → comprarle a un proveedor → registrar la factura. Hoy aparecen como 3 ítems sueltos, sin nada en el menú que indique que pertenecen al mismo proceso.</w:t>
      </w:r>
    </w:p>
    <w:p>
      <w:pPr>
        <w:spacing w:after="40" w:before="300"/>
      </w:pPr>
      <w:r>
        <w:rPr>
          <w:b/>
          <w:bCs/>
          <w:color w:val="1F2937"/>
          <w:sz w:val="23"/>
          <w:szCs w:val="23"/>
        </w:rPr>
        <w:t xml:space="preserve">H6 — Dos “Configuraciones” distintas sin relación visual</w:t>
      </w:r>
      <w:r>
        <w:rPr>
          <w:b/>
          <w:bCs/>
          <w:color w:val="B7791F"/>
          <w:sz w:val="19"/>
          <w:szCs w:val="19"/>
        </w:rPr>
        <w:t xml:space="preserve">   [Prioridad Media]</w:t>
      </w:r>
    </w:p>
    <w:p>
      <w:pPr>
        <w:spacing w:after="80"/>
      </w:pPr>
      <w:r>
        <w:rPr>
          <w:i/>
          <w:iCs/>
          <w:color w:val="6B7280"/>
          <w:sz w:val="19"/>
          <w:szCs w:val="19"/>
        </w:rPr>
        <w:t xml:space="preserve">Heurística afectada: Consistencia y estándares</w:t>
      </w:r>
    </w:p>
    <w:p>
      <w:pPr>
        <w:spacing w:after="160" w:line="276"/>
      </w:pPr>
      <w:r>
        <w:rPr>
          <w:color w:val="1F2937"/>
          <w:sz w:val="21"/>
          <w:szCs w:val="21"/>
        </w:rPr>
        <w:t xml:space="preserve">“Configuración” (esquina inferior izquierda: IVA, medios de pago, datos del negocio, sitio web) y “Ajustes de Perfil” (menú de usuario, esquina superior derecha) resuelven necesidades distintas (negocio vs. cuenta personal), pero comparten la palabra “Ajustes” sin ningún vínculo entre ambas pantallas.</w:t>
      </w:r>
    </w:p>
    <w:p>
      <w:pPr>
        <w:spacing w:after="40" w:before="300"/>
      </w:pPr>
      <w:r>
        <w:rPr>
          <w:b/>
          <w:bCs/>
          <w:color w:val="1F2937"/>
          <w:sz w:val="23"/>
          <w:szCs w:val="23"/>
        </w:rPr>
        <w:t xml:space="preserve">H7 — “Mi Plan” mezclado entre herramientas operativas de uso diario</w:t>
      </w:r>
      <w:r>
        <w:rPr>
          <w:b/>
          <w:bCs/>
          <w:color w:val="2F855A"/>
          <w:sz w:val="19"/>
          <w:szCs w:val="19"/>
        </w:rPr>
        <w:t xml:space="preserve">   [Prioridad Baja]</w:t>
      </w:r>
    </w:p>
    <w:p>
      <w:pPr>
        <w:spacing w:after="80"/>
      </w:pPr>
      <w:r>
        <w:rPr>
          <w:i/>
          <w:iCs/>
          <w:color w:val="6B7280"/>
          <w:sz w:val="19"/>
          <w:szCs w:val="19"/>
        </w:rPr>
        <w:t xml:space="preserve">Heurística afectada: Agrupación por frecuencia de uso</w:t>
      </w:r>
    </w:p>
    <w:p>
      <w:pPr>
        <w:spacing w:after="160" w:line="276"/>
      </w:pPr>
      <w:r>
        <w:rPr>
          <w:color w:val="1F2937"/>
          <w:sz w:val="21"/>
          <w:szCs w:val="21"/>
        </w:rPr>
        <w:t xml:space="preserve">Es un ítem administrativo (facturación de la suscripción) ubicado entre “Personal” y el resto de herramientas que se usan a diario (Ventas, Gastos, Clientes). Agruparlo junto a “Configuración” reforzaría un bloque “Negocio/Cuenta” separado del bloque operativo.</w:t>
      </w:r>
    </w:p>
    <w:p>
      <w:pPr>
        <w:spacing w:after="40" w:before="300"/>
      </w:pPr>
      <w:r>
        <w:rPr>
          <w:b/>
          <w:bCs/>
          <w:color w:val="1F2937"/>
          <w:sz w:val="23"/>
          <w:szCs w:val="23"/>
        </w:rPr>
        <w:t xml:space="preserve">H8 — Accesos rápidos de la barra superior sin etiqueta visible</w:t>
      </w:r>
      <w:r>
        <w:rPr>
          <w:b/>
          <w:bCs/>
          <w:color w:val="2F855A"/>
          <w:sz w:val="19"/>
          <w:szCs w:val="19"/>
        </w:rPr>
        <w:t xml:space="preserve">   [Prioridad Baja]</w:t>
      </w:r>
    </w:p>
    <w:p>
      <w:pPr>
        <w:spacing w:after="80"/>
      </w:pPr>
      <w:r>
        <w:rPr>
          <w:i/>
          <w:iCs/>
          <w:color w:val="6B7280"/>
          <w:sz w:val="19"/>
          <w:szCs w:val="19"/>
        </w:rPr>
        <w:t xml:space="preserve">Heurística afectada: Visibilidad del estado del sistema</w:t>
      </w:r>
    </w:p>
    <w:p>
      <w:pPr>
        <w:spacing w:after="160" w:line="276"/>
      </w:pPr>
      <w:r>
        <w:rPr>
          <w:color w:val="1F2937"/>
          <w:sz w:val="21"/>
          <w:szCs w:val="21"/>
        </w:rPr>
        <w:t xml:space="preserve">Los íconos de “Registrar gasto” (billetera) y calculadora no tienen texto ni tooltip visible; un usuario nuevo no puede saber qué hacen sin hacer clic para probar. “Registrar gasto” además ya existe como botón en Panel y en Gastos: no es necesariamente un problema (es un patrón de acceso rápido válido), pero conviene añadir tooltips para que el ícono sea autoexplicativo.</w:t>
      </w:r>
    </w:p>
    <w:p>
      <w:pPr>
        <w:spacing w:after="60" w:before="200"/>
      </w:pPr>
      <w:r>
        <w:rPr>
          <w:b/>
          <w:bCs/>
          <w:color w:val="2F855A"/>
          <w:sz w:val="21"/>
          <w:szCs w:val="21"/>
        </w:rPr>
        <w:t xml:space="preserve">Fortalezas a mantener</w:t>
      </w:r>
    </w:p>
    <w:p>
      <w:pPr>
        <w:spacing w:after="160" w:line="276"/>
      </w:pPr>
      <w:r>
        <w:rPr>
          <w:color w:val="1F2937"/>
          <w:sz w:val="21"/>
          <w:szCs w:val="21"/>
        </w:rPr>
        <w:t xml:space="preserve">Para dar contexto balanceado: los estados vacíos están bien resueltos (“Presiona ‘Sugerir’ para auto-detectar productos...”, “Aquí verás los ítems que elijas en tu próxima venta”), hay consistencia de paginación (“Mostrando X-Y de Z resultados”) y de filtros de fecha en todas las tablas, y el Panel ofrece accesos rápidos contextuales que aceleran las tareas más comunes del día a día.</w:t>
      </w:r>
    </w:p>
    <w:p>
      <w:pPr>
        <w:pStyle w:val="Heading1"/>
        <w:pBdr>
          <w:bottom w:val="single" w:color="5B4FE5" w:sz="6" w:space="4"/>
        </w:pBdr>
        <w:spacing w:after="160" w:before="360"/>
      </w:pPr>
      <w:r>
        <w:rPr>
          <w:b/>
          <w:bCs/>
          <w:color w:val="5B4FE5"/>
          <w:sz w:val="30"/>
          <w:szCs w:val="30"/>
        </w:rPr>
        <w:t xml:space="preserve">5. Respuesta directa: ¿menú general con submenús?</w:t>
      </w:r>
    </w:p>
    <w:p>
      <w:pPr>
        <w:spacing w:after="160" w:line="276"/>
      </w:pPr>
      <w:r>
        <w:rPr>
          <w:color w:val="1F2937"/>
          <w:sz w:val="21"/>
          <w:szCs w:val="21"/>
        </w:rPr>
        <w:t xml:space="preserve">Sí. Conviene pasar de un menú plano a un menú agrupado con submenús de un solo nivel de profundidad (no más, para no obligar a más de 2 clics para llegar a cualquier pantalla). El ejemplo que planteaba el equipo —“Personal” como grupo con “Comisiones” adentro— es el patrón correcto, y se puede aplicar al resto de la navegación con el mismo criterio: agrupar por tarea o dominio de negocio, no por tabla de base de datos.</w:t>
      </w:r>
    </w:p>
    <w:p>
      <w:pPr>
        <w:pStyle w:val="Heading1"/>
        <w:pBdr>
          <w:bottom w:val="single" w:color="5B4FE5" w:sz="6" w:space="4"/>
        </w:pBdr>
        <w:spacing w:after="160" w:before="360"/>
      </w:pPr>
      <w:r>
        <w:rPr>
          <w:b/>
          <w:bCs/>
          <w:color w:val="5B4FE5"/>
          <w:sz w:val="30"/>
          <w:szCs w:val="30"/>
        </w:rPr>
        <w:t xml:space="preserve">6. Propuesta de arquitectura de información</w:t>
      </w:r>
    </w:p>
    <w:p>
      <w:pPr>
        <w:shd w:fill="EEF0FF" w:val="clear"/>
        <w:spacing w:after="60" w:before="220"/>
      </w:pPr>
      <w:r>
        <w:rPr>
          <w:b/>
          <w:bCs/>
          <w:color w:val="5B4FE5"/>
          <w:sz w:val="22"/>
          <w:szCs w:val="22"/>
        </w:rPr>
        <w:t xml:space="preserve">■ Panel</w:t>
      </w:r>
    </w:p>
    <w:p>
      <w:pPr>
        <w:spacing w:after="60"/>
        <w:ind w:left="400"/>
      </w:pPr>
      <w:r>
        <w:rPr>
          <w:color w:val="1F2937"/>
          <w:sz w:val="20"/>
          <w:szCs w:val="20"/>
        </w:rPr>
        <w:t xml:space="preserve">— (sin hijos — pantalla de inicio)</w:t>
      </w:r>
    </w:p>
    <w:p>
      <w:pPr>
        <w:shd w:fill="EEF0FF" w:val="clear"/>
        <w:spacing w:after="60" w:before="220"/>
      </w:pPr>
      <w:r>
        <w:rPr>
          <w:b/>
          <w:bCs/>
          <w:color w:val="5B4FE5"/>
          <w:sz w:val="22"/>
          <w:szCs w:val="22"/>
        </w:rPr>
        <w:t xml:space="preserve">■ Ventas</w:t>
      </w:r>
    </w:p>
    <w:p>
      <w:pPr>
        <w:spacing w:after="60"/>
        <w:ind w:left="400"/>
      </w:pPr>
      <w:r>
        <w:rPr>
          <w:color w:val="1F2937"/>
          <w:sz w:val="20"/>
          <w:szCs w:val="20"/>
        </w:rPr>
        <w:t xml:space="preserve">— Punto de Venta</w:t>
      </w:r>
    </w:p>
    <w:p>
      <w:pPr>
        <w:spacing w:after="60"/>
        <w:ind w:left="400"/>
      </w:pPr>
      <w:r>
        <w:rPr>
          <w:color w:val="1F2937"/>
          <w:sz w:val="20"/>
          <w:szCs w:val="20"/>
        </w:rPr>
        <w:t xml:space="preserve">— Historial de Ventas</w:t>
      </w:r>
    </w:p>
    <w:p>
      <w:pPr>
        <w:shd w:fill="EEF0FF" w:val="clear"/>
        <w:spacing w:after="60" w:before="220"/>
      </w:pPr>
      <w:r>
        <w:rPr>
          <w:b/>
          <w:bCs/>
          <w:color w:val="5B4FE5"/>
          <w:sz w:val="22"/>
          <w:szCs w:val="22"/>
        </w:rPr>
        <w:t xml:space="preserve">■ Agenda y Clientes</w:t>
      </w:r>
    </w:p>
    <w:p>
      <w:pPr>
        <w:spacing w:after="60"/>
        <w:ind w:left="400"/>
      </w:pPr>
      <w:r>
        <w:rPr>
          <w:color w:val="1F2937"/>
          <w:sz w:val="20"/>
          <w:szCs w:val="20"/>
        </w:rPr>
        <w:t xml:space="preserve">— Calendario</w:t>
      </w:r>
    </w:p>
    <w:p>
      <w:pPr>
        <w:spacing w:after="60"/>
        <w:ind w:left="400"/>
      </w:pPr>
      <w:r>
        <w:rPr>
          <w:color w:val="1F2937"/>
          <w:sz w:val="20"/>
          <w:szCs w:val="20"/>
        </w:rPr>
        <w:t xml:space="preserve">— Clientes</w:t>
      </w:r>
    </w:p>
    <w:p>
      <w:pPr>
        <w:shd w:fill="EEF0FF" w:val="clear"/>
        <w:spacing w:after="60" w:before="220"/>
      </w:pPr>
      <w:r>
        <w:rPr>
          <w:b/>
          <w:bCs/>
          <w:color w:val="5B4FE5"/>
          <w:sz w:val="22"/>
          <w:szCs w:val="22"/>
        </w:rPr>
        <w:t xml:space="preserve">■ Catálogo</w:t>
      </w:r>
    </w:p>
    <w:p>
      <w:pPr>
        <w:spacing w:after="60"/>
        <w:ind w:left="400"/>
      </w:pPr>
      <w:r>
        <w:rPr>
          <w:color w:val="1F2937"/>
          <w:sz w:val="20"/>
          <w:szCs w:val="20"/>
        </w:rPr>
        <w:t xml:space="preserve">— Productos y Servicios (categorías de producto quedan como filtro/modal interno; se elimina el ítem “Categorías” del menú)</w:t>
      </w:r>
    </w:p>
    <w:p>
      <w:pPr>
        <w:shd w:fill="EEF0FF" w:val="clear"/>
        <w:spacing w:after="60" w:before="220"/>
      </w:pPr>
      <w:r>
        <w:rPr>
          <w:b/>
          <w:bCs/>
          <w:color w:val="5B4FE5"/>
          <w:sz w:val="22"/>
          <w:szCs w:val="22"/>
        </w:rPr>
        <w:t xml:space="preserve">■ Compras</w:t>
      </w:r>
    </w:p>
    <w:p>
      <w:pPr>
        <w:spacing w:after="60"/>
        <w:ind w:left="400"/>
      </w:pPr>
      <w:r>
        <w:rPr>
          <w:color w:val="1F2937"/>
          <w:sz w:val="20"/>
          <w:szCs w:val="20"/>
        </w:rPr>
        <w:t xml:space="preserve">— Pedidos (reposición)</w:t>
      </w:r>
    </w:p>
    <w:p>
      <w:pPr>
        <w:spacing w:after="60"/>
        <w:ind w:left="400"/>
      </w:pPr>
      <w:r>
        <w:rPr>
          <w:color w:val="1F2937"/>
          <w:sz w:val="20"/>
          <w:szCs w:val="20"/>
        </w:rPr>
        <w:t xml:space="preserve">— Compras (facturas)</w:t>
      </w:r>
    </w:p>
    <w:p>
      <w:pPr>
        <w:spacing w:after="60"/>
        <w:ind w:left="400"/>
      </w:pPr>
      <w:r>
        <w:rPr>
          <w:color w:val="1F2937"/>
          <w:sz w:val="20"/>
          <w:szCs w:val="20"/>
        </w:rPr>
        <w:t xml:space="preserve">— Proveedores</w:t>
      </w:r>
    </w:p>
    <w:p>
      <w:pPr>
        <w:shd w:fill="EEF0FF" w:val="clear"/>
        <w:spacing w:after="60" w:before="220"/>
      </w:pPr>
      <w:r>
        <w:rPr>
          <w:b/>
          <w:bCs/>
          <w:color w:val="5B4FE5"/>
          <w:sz w:val="22"/>
          <w:szCs w:val="22"/>
        </w:rPr>
        <w:t xml:space="preserve">■ Finanzas</w:t>
      </w:r>
    </w:p>
    <w:p>
      <w:pPr>
        <w:spacing w:after="60"/>
        <w:ind w:left="400"/>
      </w:pPr>
      <w:r>
        <w:rPr>
          <w:color w:val="1F2937"/>
          <w:sz w:val="20"/>
          <w:szCs w:val="20"/>
        </w:rPr>
        <w:t xml:space="preserve">— Gastos</w:t>
      </w:r>
    </w:p>
    <w:p>
      <w:pPr>
        <w:shd w:fill="EEF0FF" w:val="clear"/>
        <w:spacing w:after="60" w:before="220"/>
      </w:pPr>
      <w:r>
        <w:rPr>
          <w:b/>
          <w:bCs/>
          <w:color w:val="5B4FE5"/>
          <w:sz w:val="22"/>
          <w:szCs w:val="22"/>
        </w:rPr>
        <w:t xml:space="preserve">■ Equipo (renombrar desde “Personal”)</w:t>
      </w:r>
    </w:p>
    <w:p>
      <w:pPr>
        <w:spacing w:after="60"/>
        <w:ind w:left="400"/>
      </w:pPr>
      <w:r>
        <w:rPr>
          <w:color w:val="1F2937"/>
          <w:sz w:val="20"/>
          <w:szCs w:val="20"/>
        </w:rPr>
        <w:t xml:space="preserve">— Miembros (roster + accesos)</w:t>
      </w:r>
    </w:p>
    <w:p>
      <w:pPr>
        <w:spacing w:after="60"/>
        <w:ind w:left="400"/>
      </w:pPr>
      <w:r>
        <w:rPr>
          <w:color w:val="1F2937"/>
          <w:sz w:val="20"/>
          <w:szCs w:val="20"/>
        </w:rPr>
        <w:t xml:space="preserve">— Comisiones (liquidación + reporte) ← el caso puntual que planteaba el equipo</w:t>
      </w:r>
    </w:p>
    <w:p>
      <w:pPr>
        <w:shd w:fill="EEF0FF" w:val="clear"/>
        <w:spacing w:after="60" w:before="220"/>
      </w:pPr>
      <w:r>
        <w:rPr>
          <w:b/>
          <w:bCs/>
          <w:color w:val="5B4FE5"/>
          <w:sz w:val="22"/>
          <w:szCs w:val="22"/>
        </w:rPr>
        <w:t xml:space="preserve">■ Negocio (bloque administrativo, pie de la barra)</w:t>
      </w:r>
    </w:p>
    <w:p>
      <w:pPr>
        <w:spacing w:after="60"/>
        <w:ind w:left="400"/>
      </w:pPr>
      <w:r>
        <w:rPr>
          <w:color w:val="1F2937"/>
          <w:sz w:val="20"/>
          <w:szCs w:val="20"/>
        </w:rPr>
        <w:t xml:space="preserve">— Mi Plan</w:t>
      </w:r>
    </w:p>
    <w:p>
      <w:pPr>
        <w:spacing w:after="60"/>
        <w:ind w:left="400"/>
      </w:pPr>
      <w:r>
        <w:rPr>
          <w:color w:val="1F2937"/>
          <w:sz w:val="20"/>
          <w:szCs w:val="20"/>
        </w:rPr>
        <w:t xml:space="preserve">— Configuración</w:t>
      </w:r>
    </w:p>
    <w:p>
      <w:pPr>
        <w:spacing w:after="60"/>
        <w:ind w:left="400"/>
      </w:pPr>
      <w:r>
        <w:rPr>
          <w:color w:val="1F2937"/>
          <w:sz w:val="20"/>
          <w:szCs w:val="20"/>
        </w:rPr>
        <w:t xml:space="preserve">— Enlace directo a “Ajustes de Perfil” para cerrar el vínculo con el menú de usuario</w:t>
      </w:r>
    </w:p>
    <w:p>
      <w:pPr>
        <w:spacing w:after="200" w:before="200"/>
      </w:pPr>
      <w:r>
        <w:rPr>
          <w:i/>
          <w:iCs/>
          <w:color w:val="6B7280"/>
          <w:sz w:val="20"/>
          <w:szCs w:val="20"/>
        </w:rPr>
        <w:t xml:space="preserve">Resultado: de 13 ítems planos se pasa a 6 grupos + Panel en el nivel superior (7 en total), cada uno con 1 a 3 hijos — dentro del rango recomendado, y exactamente el patrón “grupo &gt; subsección” que pedía el equipo.</w:t>
      </w:r>
    </w:p>
    <w:p>
      <w:pPr>
        <w:pStyle w:val="Heading1"/>
        <w:pBdr>
          <w:bottom w:val="single" w:color="5B4FE5" w:sz="6" w:space="4"/>
        </w:pBdr>
        <w:spacing w:after="160" w:before="360"/>
      </w:pPr>
      <w:r>
        <w:rPr>
          <w:b/>
          <w:bCs/>
          <w:color w:val="5B4FE5"/>
          <w:sz w:val="30"/>
          <w:szCs w:val="30"/>
        </w:rPr>
        <w:t xml:space="preserve">7. Comparativa antes / después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650"/>
        <w:gridCol w:w="4650"/>
      </w:tblGrid>
      <w:tr>
        <w:trPr>
          <w:tblHeader/>
        </w:trPr>
        <w:tc>
          <w:tcPr>
            <w:tcW w:type="dxa" w:w="4650"/>
            <w:shd w:fill="5B4FE5" w:val="clear"/>
            <w:tcMar>
              <w:top w:type="dxa" w:w="100"/>
              <w:left w:type="dxa" w:w="120"/>
              <w:bottom w:type="dxa" w:w="100"/>
              <w:right w:type="dxa" w:w="120"/>
            </w:tcMar>
            <w:vAlign w:val="center"/>
          </w:tcPr>
          <w:p>
            <w:pPr>
              <w:jc w:val="left"/>
            </w:pPr>
            <w:r>
              <w:rPr>
                <w:b/>
                <w:bCs/>
                <w:color w:val="FFFFFF"/>
                <w:sz w:val="19"/>
                <w:szCs w:val="19"/>
              </w:rPr>
              <w:t xml:space="preserve">Antes (13 ítems planos)</w:t>
            </w:r>
          </w:p>
        </w:tc>
        <w:tc>
          <w:tcPr>
            <w:tcW w:type="dxa" w:w="4650"/>
            <w:shd w:fill="5B4FE5" w:val="clear"/>
            <w:tcMar>
              <w:top w:type="dxa" w:w="100"/>
              <w:left w:type="dxa" w:w="120"/>
              <w:bottom w:type="dxa" w:w="100"/>
              <w:right w:type="dxa" w:w="120"/>
            </w:tcMar>
            <w:vAlign w:val="center"/>
          </w:tcPr>
          <w:p>
            <w:pPr>
              <w:jc w:val="left"/>
            </w:pPr>
            <w:r>
              <w:rPr>
                <w:b/>
                <w:bCs/>
                <w:color w:val="FFFFFF"/>
                <w:sz w:val="19"/>
                <w:szCs w:val="19"/>
              </w:rPr>
              <w:t xml:space="preserve">Después (7 grupos de primer nivel)</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Panel</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Panel</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Punto de Venta</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Ventas &gt; Punto de Venta</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Ventas</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Ventas &gt; Historial de Ventas</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Calendario</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Agenda y Clientes &gt; Calendario</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Clientes</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Agenda y Clientes &gt; Clientes</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Producto - Servicio</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Catálogo &gt; Productos y Servicios</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Categorías</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(eliminado del menú — se absorbe en Catálogo)</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Pedidos</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Compras &gt; Pedidos</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Proveedores</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Compras &gt; Proveedores</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Compras</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Compras &gt; Facturas de Compra</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Gastos</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Finanzas &gt; Gastos</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Personal</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Equipo &gt; Miembros</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(tabla “Comisiones”, hoy enterrada en Personal)</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Equipo &gt; Comisiones</w:t>
            </w:r>
          </w:p>
        </w:tc>
      </w:tr>
      <w:tr>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Mi Plan</w:t>
            </w:r>
          </w:p>
        </w:tc>
        <w:tc>
          <w:tcPr>
            <w:tcW w:type="dxa" w:w="465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Negocio &gt; Mi Plan</w:t>
            </w:r>
          </w:p>
        </w:tc>
      </w:tr>
      <w:tr>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Configuración</w:t>
            </w:r>
          </w:p>
        </w:tc>
        <w:tc>
          <w:tcPr>
            <w:tcW w:type="dxa" w:w="4650"/>
            <w:tcMar>
              <w:top w:type="dxa" w:w="100"/>
              <w:left w:type="dxa" w:w="120"/>
              <w:bottom w:type="dxa" w:w="100"/>
              <w:right w:type="dxa" w:w="120"/>
            </w:tcMar>
            <w:vAlign w:val="center"/>
          </w:tcPr>
          <w:p>
            <w:pPr>
              <w:jc w:val="left"/>
            </w:pPr>
            <w:r>
              <w:rPr>
                <w:b w:val="false"/>
                <w:bCs w:val="false"/>
                <w:color w:val="1F2937"/>
                <w:sz w:val="19"/>
                <w:szCs w:val="19"/>
              </w:rPr>
              <w:t xml:space="preserve">Negocio &gt; Configuración</w:t>
            </w:r>
          </w:p>
        </w:tc>
      </w:tr>
    </w:tbl>
    <w:p>
      <w:pPr>
        <w:spacing w:after="200"/>
      </w:pPr>
    </w:p>
    <w:p>
      <w:pPr>
        <w:pStyle w:val="Heading1"/>
        <w:pBdr>
          <w:bottom w:val="single" w:color="5B4FE5" w:sz="6" w:space="4"/>
        </w:pBdr>
        <w:spacing w:after="160" w:before="360"/>
      </w:pPr>
      <w:r>
        <w:rPr>
          <w:b/>
          <w:bCs/>
          <w:color w:val="5B4FE5"/>
          <w:sz w:val="30"/>
          <w:szCs w:val="30"/>
        </w:rPr>
        <w:t xml:space="preserve">8. Recomendaciones adicionales de UI</w:t>
      </w:r>
    </w:p>
    <w:p>
      <w:pPr>
        <w:pStyle w:val="ListParagraph"/>
        <w:numPr>
          <w:ilvl w:val="0"/>
          <w:numId w:val="2"/>
        </w:numPr>
        <w:spacing w:after="100" w:line="270"/>
      </w:pPr>
      <w:r>
        <w:rPr>
          <w:color w:val="1F2937"/>
          <w:sz w:val="21"/>
          <w:szCs w:val="21"/>
        </w:rPr>
        <w:t xml:space="preserve">Añadir micro-etiquetas de sección en mayúscula gris (mismo estilo que “MENÚ PRINCIPAL”) sobre cada grupo, para escanear sin necesidad de expandir.</w:t>
      </w:r>
    </w:p>
    <w:p>
      <w:pPr>
        <w:pStyle w:val="ListParagraph"/>
        <w:numPr>
          <w:ilvl w:val="0"/>
          <w:numId w:val="2"/>
        </w:numPr>
        <w:spacing w:after="100" w:line="270"/>
      </w:pPr>
      <w:r>
        <w:rPr>
          <w:color w:val="1F2937"/>
          <w:sz w:val="21"/>
          <w:szCs w:val="21"/>
        </w:rPr>
        <w:t xml:space="preserve">Reforzar el estado activo con una barra de acento a la izquierda del ítem, no solo el fondo tenue — importante cuando exista un padre expandido más un hijo seleccionado (dos estados a distinguir).</w:t>
      </w:r>
    </w:p>
    <w:p>
      <w:pPr>
        <w:pStyle w:val="ListParagraph"/>
        <w:numPr>
          <w:ilvl w:val="0"/>
          <w:numId w:val="2"/>
        </w:numPr>
        <w:spacing w:after="100" w:line="270"/>
      </w:pPr>
      <w:r>
        <w:rPr>
          <w:color w:val="1F2937"/>
          <w:sz w:val="21"/>
          <w:szCs w:val="21"/>
        </w:rPr>
        <w:t xml:space="preserve">En modo colapsado (solo íconos), mantener separadores horizontales entre clústeres para que los 7 grupos sigan siendo reconocibles sin etiqueta.</w:t>
      </w:r>
    </w:p>
    <w:p>
      <w:pPr>
        <w:pStyle w:val="ListParagraph"/>
        <w:numPr>
          <w:ilvl w:val="0"/>
          <w:numId w:val="2"/>
        </w:numPr>
        <w:spacing w:after="100" w:line="270"/>
      </w:pPr>
      <w:r>
        <w:rPr>
          <w:color w:val="1F2937"/>
          <w:sz w:val="21"/>
          <w:szCs w:val="21"/>
        </w:rPr>
        <w:t xml:space="preserve">Agregar tooltip a los íconos de la barra superior que no tienen texto (billetera, calculadora).</w:t>
      </w:r>
    </w:p>
    <w:p>
      <w:pPr>
        <w:pStyle w:val="ListParagraph"/>
        <w:numPr>
          <w:ilvl w:val="0"/>
          <w:numId w:val="2"/>
        </w:numPr>
        <w:spacing w:after="100" w:line="270"/>
      </w:pPr>
      <w:r>
        <w:rPr>
          <w:color w:val="1F2937"/>
          <w:sz w:val="21"/>
          <w:szCs w:val="21"/>
        </w:rPr>
        <w:t xml:space="preserve">Unificar el nombre “Categoría” por contexto: “Categoría de producto” vs. “Categoría de gasto”, explícito en encabezados y modales, ya que van a seguir siendo dos tablas distintas.</w:t>
      </w:r>
    </w:p>
    <w:p>
      <w:pPr>
        <w:pStyle w:val="ListParagraph"/>
        <w:numPr>
          <w:ilvl w:val="0"/>
          <w:numId w:val="2"/>
        </w:numPr>
        <w:spacing w:after="100" w:line="270"/>
      </w:pPr>
      <w:r>
        <w:rPr>
          <w:color w:val="1F2937"/>
          <w:sz w:val="21"/>
          <w:szCs w:val="21"/>
        </w:rPr>
        <w:t xml:space="preserve">Validar la propuesta con un test de árbol (tree testing) con 3-5 usuarios reales antes de implementar, en especial para confirmar en qué grupo esperan encontrar “Calendario” y “Pedidos” — son los dos ítems con mayor ambigüedad de ubicación.</w:t>
      </w:r>
    </w:p>
    <w:p>
      <w:pPr>
        <w:pStyle w:val="Heading1"/>
        <w:pBdr>
          <w:bottom w:val="single" w:color="5B4FE5" w:sz="6" w:space="4"/>
        </w:pBdr>
        <w:spacing w:after="160" w:before="360"/>
      </w:pPr>
      <w:r>
        <w:rPr>
          <w:b/>
          <w:bCs/>
          <w:color w:val="5B4FE5"/>
          <w:sz w:val="30"/>
          <w:szCs w:val="30"/>
        </w:rPr>
        <w:t xml:space="preserve">9. Priorización / roadmap</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4700"/>
        <w:gridCol w:w="1500"/>
        <w:gridCol w:w="1800"/>
      </w:tblGrid>
      <w:tr>
        <w:trPr>
          <w:tblHeader/>
        </w:trPr>
        <w:tc>
          <w:tcPr>
            <w:tcW w:type="dxa" w:w="1300"/>
            <w:shd w:fill="5B4FE5" w:val="clear"/>
            <w:tcMar>
              <w:top w:type="dxa" w:w="100"/>
              <w:left w:type="dxa" w:w="120"/>
              <w:bottom w:type="dxa" w:w="100"/>
              <w:right w:type="dxa" w:w="120"/>
            </w:tcMar>
            <w:vAlign w:val="center"/>
          </w:tcPr>
          <w:p>
            <w:pPr>
              <w:jc w:val="left"/>
            </w:pPr>
            <w:r>
              <w:rPr>
                <w:b/>
                <w:bCs/>
                <w:color w:val="FFFFFF"/>
                <w:sz w:val="19"/>
                <w:szCs w:val="19"/>
              </w:rPr>
              <w:t xml:space="preserve">Prioridad</w:t>
            </w:r>
          </w:p>
        </w:tc>
        <w:tc>
          <w:tcPr>
            <w:tcW w:type="dxa" w:w="4700"/>
            <w:shd w:fill="5B4FE5" w:val="clear"/>
            <w:tcMar>
              <w:top w:type="dxa" w:w="100"/>
              <w:left w:type="dxa" w:w="120"/>
              <w:bottom w:type="dxa" w:w="100"/>
              <w:right w:type="dxa" w:w="120"/>
            </w:tcMar>
            <w:vAlign w:val="center"/>
          </w:tcPr>
          <w:p>
            <w:pPr>
              <w:jc w:val="left"/>
            </w:pPr>
            <w:r>
              <w:rPr>
                <w:b/>
                <w:bCs/>
                <w:color w:val="FFFFFF"/>
                <w:sz w:val="19"/>
                <w:szCs w:val="19"/>
              </w:rPr>
              <w:t xml:space="preserve">Acción</w:t>
            </w:r>
          </w:p>
        </w:tc>
        <w:tc>
          <w:tcPr>
            <w:tcW w:type="dxa" w:w="1500"/>
            <w:shd w:fill="5B4FE5" w:val="clear"/>
            <w:tcMar>
              <w:top w:type="dxa" w:w="100"/>
              <w:left w:type="dxa" w:w="120"/>
              <w:bottom w:type="dxa" w:w="100"/>
              <w:right w:type="dxa" w:w="120"/>
            </w:tcMar>
            <w:vAlign w:val="center"/>
          </w:tcPr>
          <w:p>
            <w:pPr>
              <w:jc w:val="left"/>
            </w:pPr>
            <w:r>
              <w:rPr>
                <w:b/>
                <w:bCs/>
                <w:color w:val="FFFFFF"/>
                <w:sz w:val="19"/>
                <w:szCs w:val="19"/>
              </w:rPr>
              <w:t xml:space="preserve">Esfuerzo</w:t>
            </w:r>
          </w:p>
        </w:tc>
        <w:tc>
          <w:tcPr>
            <w:tcW w:type="dxa" w:w="1800"/>
            <w:shd w:fill="5B4FE5" w:val="clear"/>
            <w:tcMar>
              <w:top w:type="dxa" w:w="100"/>
              <w:left w:type="dxa" w:w="120"/>
              <w:bottom w:type="dxa" w:w="100"/>
              <w:right w:type="dxa" w:w="120"/>
            </w:tcMar>
            <w:vAlign w:val="center"/>
          </w:tcPr>
          <w:p>
            <w:pPr>
              <w:jc w:val="left"/>
            </w:pPr>
            <w:r>
              <w:rPr>
                <w:b/>
                <w:bCs/>
                <w:color w:val="FFFFFF"/>
                <w:sz w:val="19"/>
                <w:szCs w:val="19"/>
              </w:rPr>
              <w:t xml:space="preserve">Impacto</w:t>
            </w:r>
          </w:p>
        </w:tc>
      </w:tr>
      <w:tr>
        <w:tc>
          <w:tcPr>
            <w:tcW w:type="dxa" w:w="1300"/>
            <w:tcMar>
              <w:top w:type="dxa" w:w="100"/>
              <w:left w:type="dxa" w:w="120"/>
              <w:bottom w:type="dxa" w:w="100"/>
              <w:right w:type="dxa" w:w="120"/>
            </w:tcMar>
            <w:vAlign w:val="center"/>
          </w:tcPr>
          <w:p>
            <w:pPr>
              <w:jc w:val="left"/>
            </w:pPr>
            <w:r>
              <w:rPr>
                <w:b w:val="false"/>
                <w:bCs w:val="false"/>
                <w:color w:val="1F2937"/>
                <w:sz w:val="19"/>
                <w:szCs w:val="19"/>
              </w:rPr>
              <w:t xml:space="preserve">Alta</w:t>
            </w:r>
          </w:p>
        </w:tc>
        <w:tc>
          <w:tcPr>
            <w:tcW w:type="dxa" w:w="4700"/>
            <w:tcMar>
              <w:top w:type="dxa" w:w="100"/>
              <w:left w:type="dxa" w:w="120"/>
              <w:bottom w:type="dxa" w:w="100"/>
              <w:right w:type="dxa" w:w="120"/>
            </w:tcMar>
            <w:vAlign w:val="center"/>
          </w:tcPr>
          <w:p>
            <w:pPr>
              <w:jc w:val="left"/>
            </w:pPr>
            <w:r>
              <w:rPr>
                <w:b w:val="false"/>
                <w:bCs w:val="false"/>
                <w:color w:val="1F2937"/>
                <w:sz w:val="19"/>
                <w:szCs w:val="19"/>
              </w:rPr>
              <w:t xml:space="preserve">Eliminar el ítem “Categorías” del menú; dejar la función solo dentro de “Producto - Servicio”.</w:t>
            </w:r>
          </w:p>
        </w:tc>
        <w:tc>
          <w:tcPr>
            <w:tcW w:type="dxa" w:w="1500"/>
            <w:tcMar>
              <w:top w:type="dxa" w:w="100"/>
              <w:left w:type="dxa" w:w="120"/>
              <w:bottom w:type="dxa" w:w="100"/>
              <w:right w:type="dxa" w:w="120"/>
            </w:tcMar>
            <w:vAlign w:val="center"/>
          </w:tcPr>
          <w:p>
            <w:pPr>
              <w:jc w:val="left"/>
            </w:pPr>
            <w:r>
              <w:rPr>
                <w:b w:val="false"/>
                <w:bCs w:val="false"/>
                <w:color w:val="1F2937"/>
                <w:sz w:val="19"/>
                <w:szCs w:val="19"/>
              </w:rPr>
              <w:t xml:space="preserve">Bajo</w:t>
            </w:r>
          </w:p>
        </w:tc>
        <w:tc>
          <w:tcPr>
            <w:tcW w:type="dxa" w:w="1800"/>
            <w:tcMar>
              <w:top w:type="dxa" w:w="100"/>
              <w:left w:type="dxa" w:w="120"/>
              <w:bottom w:type="dxa" w:w="100"/>
              <w:right w:type="dxa" w:w="120"/>
            </w:tcMar>
            <w:vAlign w:val="center"/>
          </w:tcPr>
          <w:p>
            <w:pPr>
              <w:jc w:val="left"/>
            </w:pPr>
            <w:r>
              <w:rPr>
                <w:b w:val="false"/>
                <w:bCs w:val="false"/>
                <w:color w:val="1F2937"/>
                <w:sz w:val="19"/>
                <w:szCs w:val="19"/>
              </w:rPr>
              <w:t xml:space="preserve">Alto</w:t>
            </w:r>
          </w:p>
        </w:tc>
      </w:tr>
      <w:tr>
        <w:tc>
          <w:tcPr>
            <w:tcW w:type="dxa" w:w="13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Alta</w:t>
            </w:r>
          </w:p>
        </w:tc>
        <w:tc>
          <w:tcPr>
            <w:tcW w:type="dxa" w:w="4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Dividir “Personal” en subsecciones “Miembros” y “Comisiones” (tabs o rutas anidadas).</w:t>
            </w:r>
          </w:p>
        </w:tc>
        <w:tc>
          <w:tcPr>
            <w:tcW w:type="dxa" w:w="15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Medio</w:t>
            </w:r>
          </w:p>
        </w:tc>
        <w:tc>
          <w:tcPr>
            <w:tcW w:type="dxa" w:w="18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Alto</w:t>
            </w:r>
          </w:p>
        </w:tc>
      </w:tr>
      <w:tr>
        <w:tc>
          <w:tcPr>
            <w:tcW w:type="dxa" w:w="1300"/>
            <w:tcMar>
              <w:top w:type="dxa" w:w="100"/>
              <w:left w:type="dxa" w:w="120"/>
              <w:bottom w:type="dxa" w:w="100"/>
              <w:right w:type="dxa" w:w="120"/>
            </w:tcMar>
            <w:vAlign w:val="center"/>
          </w:tcPr>
          <w:p>
            <w:pPr>
              <w:jc w:val="left"/>
            </w:pPr>
            <w:r>
              <w:rPr>
                <w:b w:val="false"/>
                <w:bCs w:val="false"/>
                <w:color w:val="1F2937"/>
                <w:sz w:val="19"/>
                <w:szCs w:val="19"/>
              </w:rPr>
              <w:t xml:space="preserve">Alta</w:t>
            </w:r>
          </w:p>
        </w:tc>
        <w:tc>
          <w:tcPr>
            <w:tcW w:type="dxa" w:w="4700"/>
            <w:tcMar>
              <w:top w:type="dxa" w:w="100"/>
              <w:left w:type="dxa" w:w="120"/>
              <w:bottom w:type="dxa" w:w="100"/>
              <w:right w:type="dxa" w:w="120"/>
            </w:tcMar>
            <w:vAlign w:val="center"/>
          </w:tcPr>
          <w:p>
            <w:pPr>
              <w:jc w:val="left"/>
            </w:pPr>
            <w:r>
              <w:rPr>
                <w:b w:val="false"/>
                <w:bCs w:val="false"/>
                <w:color w:val="1F2937"/>
                <w:sz w:val="19"/>
                <w:szCs w:val="19"/>
              </w:rPr>
              <w:t xml:space="preserve">Agrupar el menú en los 6 clústeres propuestos + Panel.</w:t>
            </w:r>
          </w:p>
        </w:tc>
        <w:tc>
          <w:tcPr>
            <w:tcW w:type="dxa" w:w="1500"/>
            <w:tcMar>
              <w:top w:type="dxa" w:w="100"/>
              <w:left w:type="dxa" w:w="120"/>
              <w:bottom w:type="dxa" w:w="100"/>
              <w:right w:type="dxa" w:w="120"/>
            </w:tcMar>
            <w:vAlign w:val="center"/>
          </w:tcPr>
          <w:p>
            <w:pPr>
              <w:jc w:val="left"/>
            </w:pPr>
            <w:r>
              <w:rPr>
                <w:b w:val="false"/>
                <w:bCs w:val="false"/>
                <w:color w:val="1F2937"/>
                <w:sz w:val="19"/>
                <w:szCs w:val="19"/>
              </w:rPr>
              <w:t xml:space="preserve">Medio-Alto</w:t>
            </w:r>
          </w:p>
        </w:tc>
        <w:tc>
          <w:tcPr>
            <w:tcW w:type="dxa" w:w="1800"/>
            <w:tcMar>
              <w:top w:type="dxa" w:w="100"/>
              <w:left w:type="dxa" w:w="120"/>
              <w:bottom w:type="dxa" w:w="100"/>
              <w:right w:type="dxa" w:w="120"/>
            </w:tcMar>
            <w:vAlign w:val="center"/>
          </w:tcPr>
          <w:p>
            <w:pPr>
              <w:jc w:val="left"/>
            </w:pPr>
            <w:r>
              <w:rPr>
                <w:b w:val="false"/>
                <w:bCs w:val="false"/>
                <w:color w:val="1F2937"/>
                <w:sz w:val="19"/>
                <w:szCs w:val="19"/>
              </w:rPr>
              <w:t xml:space="preserve">Alto</w:t>
            </w:r>
          </w:p>
        </w:tc>
      </w:tr>
      <w:tr>
        <w:tc>
          <w:tcPr>
            <w:tcW w:type="dxa" w:w="13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Media</w:t>
            </w:r>
          </w:p>
        </w:tc>
        <w:tc>
          <w:tcPr>
            <w:tcW w:type="dxa" w:w="4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Agregar separadores/etiquetas visuales entre grupos y reforzar el estado activo (barra de acento).</w:t>
            </w:r>
          </w:p>
        </w:tc>
        <w:tc>
          <w:tcPr>
            <w:tcW w:type="dxa" w:w="15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Bajo</w:t>
            </w:r>
          </w:p>
        </w:tc>
        <w:tc>
          <w:tcPr>
            <w:tcW w:type="dxa" w:w="18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Medio</w:t>
            </w:r>
          </w:p>
        </w:tc>
      </w:tr>
      <w:tr>
        <w:tc>
          <w:tcPr>
            <w:tcW w:type="dxa" w:w="1300"/>
            <w:tcMar>
              <w:top w:type="dxa" w:w="100"/>
              <w:left w:type="dxa" w:w="120"/>
              <w:bottom w:type="dxa" w:w="100"/>
              <w:right w:type="dxa" w:w="120"/>
            </w:tcMar>
            <w:vAlign w:val="center"/>
          </w:tcPr>
          <w:p>
            <w:pPr>
              <w:jc w:val="left"/>
            </w:pPr>
            <w:r>
              <w:rPr>
                <w:b w:val="false"/>
                <w:bCs w:val="false"/>
                <w:color w:val="1F2937"/>
                <w:sz w:val="19"/>
                <w:szCs w:val="19"/>
              </w:rPr>
              <w:t xml:space="preserve">Media</w:t>
            </w:r>
          </w:p>
        </w:tc>
        <w:tc>
          <w:tcPr>
            <w:tcW w:type="dxa" w:w="4700"/>
            <w:tcMar>
              <w:top w:type="dxa" w:w="100"/>
              <w:left w:type="dxa" w:w="120"/>
              <w:bottom w:type="dxa" w:w="100"/>
              <w:right w:type="dxa" w:w="120"/>
            </w:tcMar>
            <w:vAlign w:val="center"/>
          </w:tcPr>
          <w:p>
            <w:pPr>
              <w:jc w:val="left"/>
            </w:pPr>
            <w:r>
              <w:rPr>
                <w:b w:val="false"/>
                <w:bCs w:val="false"/>
                <w:color w:val="1F2937"/>
                <w:sz w:val="19"/>
                <w:szCs w:val="19"/>
              </w:rPr>
              <w:t xml:space="preserve">Unificar naming: “Categoría de producto” vs. “Categoría de gasto” explícito en encabezados y modales.</w:t>
            </w:r>
          </w:p>
        </w:tc>
        <w:tc>
          <w:tcPr>
            <w:tcW w:type="dxa" w:w="1500"/>
            <w:tcMar>
              <w:top w:type="dxa" w:w="100"/>
              <w:left w:type="dxa" w:w="120"/>
              <w:bottom w:type="dxa" w:w="100"/>
              <w:right w:type="dxa" w:w="120"/>
            </w:tcMar>
            <w:vAlign w:val="center"/>
          </w:tcPr>
          <w:p>
            <w:pPr>
              <w:jc w:val="left"/>
            </w:pPr>
            <w:r>
              <w:rPr>
                <w:b w:val="false"/>
                <w:bCs w:val="false"/>
                <w:color w:val="1F2937"/>
                <w:sz w:val="19"/>
                <w:szCs w:val="19"/>
              </w:rPr>
              <w:t xml:space="preserve">Bajo</w:t>
            </w:r>
          </w:p>
        </w:tc>
        <w:tc>
          <w:tcPr>
            <w:tcW w:type="dxa" w:w="1800"/>
            <w:tcMar>
              <w:top w:type="dxa" w:w="100"/>
              <w:left w:type="dxa" w:w="120"/>
              <w:bottom w:type="dxa" w:w="100"/>
              <w:right w:type="dxa" w:w="120"/>
            </w:tcMar>
            <w:vAlign w:val="center"/>
          </w:tcPr>
          <w:p>
            <w:pPr>
              <w:jc w:val="left"/>
            </w:pPr>
            <w:r>
              <w:rPr>
                <w:b w:val="false"/>
                <w:bCs w:val="false"/>
                <w:color w:val="1F2937"/>
                <w:sz w:val="19"/>
                <w:szCs w:val="19"/>
              </w:rPr>
              <w:t xml:space="preserve">Medio</w:t>
            </w:r>
          </w:p>
        </w:tc>
      </w:tr>
      <w:tr>
        <w:tc>
          <w:tcPr>
            <w:tcW w:type="dxa" w:w="13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Baja</w:t>
            </w:r>
          </w:p>
        </w:tc>
        <w:tc>
          <w:tcPr>
            <w:tcW w:type="dxa" w:w="47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Mover “Mi Plan” junto a “Configuración” en un bloque “Negocio”.</w:t>
            </w:r>
          </w:p>
        </w:tc>
        <w:tc>
          <w:tcPr>
            <w:tcW w:type="dxa" w:w="15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Bajo</w:t>
            </w:r>
          </w:p>
        </w:tc>
        <w:tc>
          <w:tcPr>
            <w:tcW w:type="dxa" w:w="1800"/>
            <w:shd w:fill="F5F6FF" w:val="clear"/>
            <w:tcMar>
              <w:top w:type="dxa" w:w="100"/>
              <w:left w:type="dxa" w:w="120"/>
              <w:bottom w:type="dxa" w:w="100"/>
              <w:right w:type="dxa" w:w="120"/>
            </w:tcMar>
            <w:vAlign w:val="center"/>
          </w:tcPr>
          <w:p>
            <w:pPr>
              <w:jc w:val="left"/>
            </w:pPr>
            <w:r>
              <w:rPr>
                <w:b w:val="false"/>
                <w:bCs w:val="false"/>
                <w:color w:val="1F2937"/>
                <w:sz w:val="19"/>
                <w:szCs w:val="19"/>
              </w:rPr>
              <w:t xml:space="preserve">Bajo-Medio</w:t>
            </w:r>
          </w:p>
        </w:tc>
      </w:tr>
      <w:tr>
        <w:tc>
          <w:tcPr>
            <w:tcW w:type="dxa" w:w="1300"/>
            <w:tcMar>
              <w:top w:type="dxa" w:w="100"/>
              <w:left w:type="dxa" w:w="120"/>
              <w:bottom w:type="dxa" w:w="100"/>
              <w:right w:type="dxa" w:w="120"/>
            </w:tcMar>
            <w:vAlign w:val="center"/>
          </w:tcPr>
          <w:p>
            <w:pPr>
              <w:jc w:val="left"/>
            </w:pPr>
            <w:r>
              <w:rPr>
                <w:b w:val="false"/>
                <w:bCs w:val="false"/>
                <w:color w:val="1F2937"/>
                <w:sz w:val="19"/>
                <w:szCs w:val="19"/>
              </w:rPr>
              <w:t xml:space="preserve">Baja</w:t>
            </w:r>
          </w:p>
        </w:tc>
        <w:tc>
          <w:tcPr>
            <w:tcW w:type="dxa" w:w="4700"/>
            <w:tcMar>
              <w:top w:type="dxa" w:w="100"/>
              <w:left w:type="dxa" w:w="120"/>
              <w:bottom w:type="dxa" w:w="100"/>
              <w:right w:type="dxa" w:w="120"/>
            </w:tcMar>
            <w:vAlign w:val="center"/>
          </w:tcPr>
          <w:p>
            <w:pPr>
              <w:jc w:val="left"/>
            </w:pPr>
            <w:r>
              <w:rPr>
                <w:b w:val="false"/>
                <w:bCs w:val="false"/>
                <w:color w:val="1F2937"/>
                <w:sz w:val="19"/>
                <w:szCs w:val="19"/>
              </w:rPr>
              <w:t xml:space="preserve">Agregar tooltips a los íconos sin etiqueta de la barra superior.</w:t>
            </w:r>
          </w:p>
        </w:tc>
        <w:tc>
          <w:tcPr>
            <w:tcW w:type="dxa" w:w="1500"/>
            <w:tcMar>
              <w:top w:type="dxa" w:w="100"/>
              <w:left w:type="dxa" w:w="120"/>
              <w:bottom w:type="dxa" w:w="100"/>
              <w:right w:type="dxa" w:w="120"/>
            </w:tcMar>
            <w:vAlign w:val="center"/>
          </w:tcPr>
          <w:p>
            <w:pPr>
              <w:jc w:val="left"/>
            </w:pPr>
            <w:r>
              <w:rPr>
                <w:b w:val="false"/>
                <w:bCs w:val="false"/>
                <w:color w:val="1F2937"/>
                <w:sz w:val="19"/>
                <w:szCs w:val="19"/>
              </w:rPr>
              <w:t xml:space="preserve">Bajo</w:t>
            </w:r>
          </w:p>
        </w:tc>
        <w:tc>
          <w:tcPr>
            <w:tcW w:type="dxa" w:w="1800"/>
            <w:tcMar>
              <w:top w:type="dxa" w:w="100"/>
              <w:left w:type="dxa" w:w="120"/>
              <w:bottom w:type="dxa" w:w="100"/>
              <w:right w:type="dxa" w:w="120"/>
            </w:tcMar>
            <w:vAlign w:val="center"/>
          </w:tcPr>
          <w:p>
            <w:pPr>
              <w:jc w:val="left"/>
            </w:pPr>
            <w:r>
              <w:rPr>
                <w:b w:val="false"/>
                <w:bCs w:val="false"/>
                <w:color w:val="1F2937"/>
                <w:sz w:val="19"/>
                <w:szCs w:val="19"/>
              </w:rPr>
              <w:t xml:space="preserve">Bajo</w:t>
            </w:r>
          </w:p>
        </w:tc>
      </w:tr>
    </w:tbl>
    <w:p>
      <w:pPr>
        <w:spacing w:after="200"/>
      </w:pPr>
    </w:p>
    <w:p>
      <w:pPr>
        <w:pStyle w:val="Heading1"/>
        <w:pBdr>
          <w:bottom w:val="single" w:color="5B4FE5" w:sz="6" w:space="4"/>
        </w:pBdr>
        <w:spacing w:after="160" w:before="360"/>
      </w:pPr>
      <w:r>
        <w:rPr>
          <w:b/>
          <w:bCs/>
          <w:color w:val="5B4FE5"/>
          <w:sz w:val="30"/>
          <w:szCs w:val="30"/>
        </w:rPr>
        <w:t xml:space="preserve">10. Próximos pasos sugeridos</w:t>
      </w:r>
    </w:p>
    <w:p>
      <w:pPr>
        <w:pStyle w:val="ListParagraph"/>
        <w:numPr>
          <w:ilvl w:val="0"/>
          <w:numId w:val="2"/>
        </w:numPr>
        <w:spacing w:after="100" w:line="270"/>
      </w:pPr>
      <w:r>
        <w:rPr>
          <w:color w:val="1F2937"/>
          <w:sz w:val="21"/>
          <w:szCs w:val="21"/>
        </w:rPr>
        <w:t xml:space="preserve">Validar esta propuesta de agrupación con 1-2 mockups de baja fidelidad antes de tocar código.</w:t>
      </w:r>
    </w:p>
    <w:p>
      <w:pPr>
        <w:pStyle w:val="ListParagraph"/>
        <w:numPr>
          <w:ilvl w:val="0"/>
          <w:numId w:val="2"/>
        </w:numPr>
        <w:spacing w:after="100" w:line="270"/>
      </w:pPr>
      <w:r>
        <w:rPr>
          <w:color w:val="1F2937"/>
          <w:sz w:val="21"/>
          <w:szCs w:val="21"/>
        </w:rPr>
        <w:t xml:space="preserve">Ejecutar un tree test rápido con usuarios reales del negocio (barberos/administradores) para confirmar la ubicación esperada de “Calendario”, “Pedidos” y “Comisiones”.</w:t>
      </w:r>
    </w:p>
    <w:p>
      <w:pPr>
        <w:pStyle w:val="ListParagraph"/>
        <w:numPr>
          <w:ilvl w:val="0"/>
          <w:numId w:val="2"/>
        </w:numPr>
        <w:spacing w:after="100" w:line="270"/>
      </w:pPr>
      <w:r>
        <w:rPr>
          <w:color w:val="1F2937"/>
          <w:sz w:val="21"/>
          <w:szCs w:val="21"/>
        </w:rPr>
        <w:t xml:space="preserve">Implementar primero los quick wins de Prioridad Alta y bajo esfuerzo (eliminar “Categorías” del menú, separar “Comisiones”) antes de abordar el rediseño completo del componente de navegación.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2026-08-15T20:41:22.564Z</dcterms:created>
  <dcterms:modified xsi:type="dcterms:W3CDTF">2026-08-15T20:41:22.574Z</dcterms:modified>
</cp:coreProperties>
</file>

<file path=docProps/custom.xml><?xml version="1.0" encoding="utf-8"?>
<Properties xmlns="http://schemas.openxmlformats.org/officeDocument/2006/custom-properties" xmlns:vt="http://schemas.openxmlformats.org/officeDocument/2006/docPropsVTypes"/>
</file>