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i w:val="1"/>
          <w:color w:val="6e7076"/>
          <w:sz w:val="27"/>
          <w:szCs w:val="27"/>
        </w:rPr>
      </w:pPr>
      <w:r w:rsidDel="00000000" w:rsidR="00000000" w:rsidRPr="00000000">
        <w:rPr>
          <w:rtl w:val="0"/>
        </w:rPr>
        <w:t xml:space="preserve">MariaDB, es una </w:t>
      </w:r>
      <w:r w:rsidDel="00000000" w:rsidR="00000000" w:rsidRPr="00000000">
        <w:rPr>
          <w:rFonts w:ascii="Roboto" w:cs="Roboto" w:eastAsia="Roboto" w:hAnsi="Roboto"/>
          <w:color w:val="6e7076"/>
          <w:sz w:val="27"/>
          <w:szCs w:val="27"/>
          <w:rtl w:val="0"/>
        </w:rPr>
        <w:t xml:space="preserve">bifurcación</w:t>
      </w:r>
      <w:r w:rsidDel="00000000" w:rsidR="00000000" w:rsidRPr="00000000">
        <w:rPr>
          <w:rtl w:val="0"/>
        </w:rPr>
        <w:t xml:space="preserve"> de MySQL, con el propósito de que fuera libre,</w:t>
      </w:r>
      <w:r w:rsidDel="00000000" w:rsidR="00000000" w:rsidRPr="00000000">
        <w:rPr>
          <w:rFonts w:ascii="Roboto" w:cs="Roboto" w:eastAsia="Roboto" w:hAnsi="Roboto"/>
          <w:color w:val="6e7076"/>
          <w:sz w:val="27"/>
          <w:szCs w:val="27"/>
          <w:rtl w:val="0"/>
        </w:rPr>
        <w:t xml:space="preserve"> </w:t>
      </w:r>
      <w:commentRangeStart w:id="0"/>
      <w:r w:rsidDel="00000000" w:rsidR="00000000" w:rsidRPr="00000000">
        <w:rPr>
          <w:rFonts w:ascii="Roboto" w:cs="Roboto" w:eastAsia="Roboto" w:hAnsi="Roboto"/>
          <w:color w:val="6e7076"/>
          <w:sz w:val="27"/>
          <w:szCs w:val="27"/>
          <w:rtl w:val="0"/>
        </w:rPr>
        <w:t xml:space="preserve">a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color w:val="5333ed"/>
            <w:sz w:val="27"/>
            <w:szCs w:val="27"/>
            <w:rtl w:val="0"/>
          </w:rPr>
          <w:t xml:space="preserve">«asegurar que la base de código MySQL fuera libre para siempre»</w:t>
        </w:r>
      </w:hyperlink>
      <w:r w:rsidDel="00000000" w:rsidR="00000000" w:rsidRPr="00000000">
        <w:rPr>
          <w:rFonts w:ascii="Roboto" w:cs="Roboto" w:eastAsia="Roboto" w:hAnsi="Roboto"/>
          <w:i w:val="1"/>
          <w:color w:val="6e7076"/>
          <w:sz w:val="27"/>
          <w:szCs w:val="27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MySQL vs SQLite | Las 14 principales diferencias que debes aprender (educba.com)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COMANDOS BÁSICOS.</w:t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https://mariadb.com/kb/es/basic-sql-statements/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lejandra Silva Peña" w:id="0" w:date="2022-03-03T12:46:13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textuales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Enlace de descarga: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https://www.educa2.madrid.org/web/amadeo.mora/mariadb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mariadb.com/kb/es/basic-sql-statements/" TargetMode="Externa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omputerworld.com.au/article/457551/dead_database_walking_mysql_creator_why_future_belongs_mariadb/" TargetMode="External"/><Relationship Id="rId8" Type="http://schemas.openxmlformats.org/officeDocument/2006/relationships/hyperlink" Target="https://www.educba.com/mysql-vs-sql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educa2.madrid.org/web/amadeo.mora/maria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