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Computational discovery of PARG inhibitors</w:t>
      </w:r>
    </w:p>
    <w:p>
      <w:pPr>
        <w:spacing w:after="40"/>
        <w:jc w:val="center"/>
      </w:pPr>
      <w:r>
        <w:rPr>
          <w:sz w:val="26"/>
          <w:szCs w:val="26"/>
        </w:rPr>
        <w:t xml:space="preserve">Materials and Methods</w:t>
      </w:r>
    </w:p>
    <w:p>
      <w:pPr>
        <w:spacing w:after="320"/>
        <w:jc w:val="center"/>
      </w:pPr>
      <w:r>
        <w:rPr>
          <w:i/>
          <w:iCs/>
          <w:sz w:val="20"/>
          <w:szCs w:val="20"/>
        </w:rPr>
        <w:t xml:space="preserve">Muhammad Ali Khan  ·  draft of 16 October 2026</w:t>
      </w:r>
    </w:p>
    <w:p>
      <w:pPr>
        <w:spacing w:after="140" w:line="300"/>
      </w:pPr>
      <w:r>
        <w:rPr>
          <w:i/>
          <w:iCs/>
          <w:sz w:val="20"/>
          <w:szCs w:val="20"/>
        </w:rPr>
        <w:t xml:space="preserve">All eight figures are embedded in position. Numbers throughout are the corrected values — see §2.10 for which metric applies where.</w:t>
      </w:r>
    </w:p>
    <w:p>
      <w:pPr>
        <w:pStyle w:val="Heading1"/>
        <w:spacing w:after="160" w:before="320"/>
      </w:pPr>
      <w:r>
        <w:t xml:space="preserve">2. Materials and Methods</w:t>
      </w:r>
    </w:p>
    <w:p>
      <w:pPr>
        <w:pStyle w:val="Heading2"/>
        <w:spacing w:after="120" w:before="260"/>
      </w:pPr>
      <w:r>
        <w:t xml:space="preserve">2.1 Target selection</w:t>
      </w:r>
    </w:p>
    <w:p>
      <w:pPr>
        <w:spacing w:after="140" w:line="300"/>
      </w:pPr>
      <w:r>
        <w:t xml:space="preserve">Human poly(ADP-ribose) glycohydrolase (PARG; UniProt Q86W56, EC 3.2.1.143, ChEMBL target CHEMBL1795143) was selected by four sequential criteria: biological rationale; novelty with respect to existing computational screening literature; bioactivity-data sufficiency for scaffold-split evaluation; and structural feasibility, meaning high-resolution co-crystals, complete catalytic machinery, and multiple independent complexes permitting protocol validation. Candidate targets were compared against all four criteria before selection.</w:t>
      </w:r>
    </w:p>
    <w:p>
      <w:pPr>
        <w:pStyle w:val="Heading2"/>
        <w:spacing w:after="120" w:before="260"/>
      </w:pPr>
      <w:r>
        <w:t xml:space="preserve">2.2 Dataset curation</w:t>
      </w:r>
    </w:p>
    <w:p>
      <w:pPr>
        <w:spacing w:after="140" w:line="300"/>
      </w:pPr>
      <w:r>
        <w:t xml:space="preserve">Bioactivity records were retrieved from ChEMBL (target CHEMBL1795143, accessed 14 October 2026) and restricted to entries carrying a pChEMBL value. Records were aggregated by canonical SMILES with duplicate measurements averaged, yielding 870 unique compounds across 323 Bemis–Murcko scaffolds, pChEMBL range 4.06–8.32 (mean 6.155, SD 0.764).</w:t>
      </w:r>
    </w:p>
    <w:p>
      <w:pPr>
        <w:spacing w:after="140" w:line="300"/>
      </w:pPr>
      <w:r>
        <w:t xml:space="preserve">At a 6.0 pChEMBL threshold the set partitions into 510 active and 35 inactive compounds. Because classification metrics on that imbalance report high accuracy for an uninformative model, the task was formulated as regression on continuous pChEMBL before any model was trained.</w:t>
      </w:r>
    </w:p>
    <w:p>
      <w:pPr>
        <w:pStyle w:val="Heading2"/>
        <w:spacing w:after="120" w:before="260"/>
      </w:pPr>
      <w:r>
        <w:t xml:space="preserve">2.3 Data splitting</w:t>
      </w:r>
    </w:p>
    <w:p>
      <w:pPr>
        <w:spacing w:after="140" w:line="300"/>
      </w:pPr>
      <w:r>
        <w:t xml:space="preserve">Three splits were generated. A scaffold split holding out whole Bemis–Murcko families (610 train / 260 test) served as the primary evaluation. A random split (609 / 261) was retained for contrast, quantifying the cost of extrapolating to unseen chemotypes. A temporal split (862 / 8) was abandoned because the test set was too small to support inference.</w:t>
      </w:r>
    </w:p>
    <w:p>
      <w:pPr>
        <w:pStyle w:val="Heading2"/>
        <w:spacing w:after="120" w:before="260"/>
      </w:pPr>
      <w:r>
        <w:t xml:space="preserve">2.4 Model benchmarking</w:t>
      </w:r>
    </w:p>
    <w:p>
      <w:pPr>
        <w:spacing w:after="140" w:line="300"/>
      </w:pPr>
      <w:r>
        <w:t xml:space="preserve">Four models were evaluated on the identical 260-compound scaffold-split test set: a mean predictor; Tanimoto 5-nearest-neighbour search on ECFP4 (Morgan radius 2, 2048 bit); Chemprop v2 D-MPNN (learned molecular graph, 318,000 parameters); and LightGBM on ECFP4 concatenated with 217 RDKit descriptors, 2,265 features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shd w:fill="E8E8E8" w:val="clear"/>
            <w:tcMar>
              <w:top w:type="dxa" w:w="60"/>
              <w:left w:type="dxa" w:w="100"/>
              <w:bottom w:type="dxa" w:w="60"/>
              <w:right w:type="dxa" w:w="100"/>
            </w:tcMar>
          </w:tcPr>
          <w:p>
            <w:r>
              <w:rPr>
                <w:b/>
                <w:bCs/>
                <w:sz w:val="19"/>
                <w:szCs w:val="19"/>
              </w:rPr>
              <w:t xml:space="preserve">Model</w:t>
            </w:r>
          </w:p>
        </w:tc>
        <w:tc>
          <w:tcPr>
            <w:tcW w:type="dxa" w:w="1872"/>
            <w:shd w:fill="E8E8E8" w:val="clear"/>
            <w:tcMar>
              <w:top w:type="dxa" w:w="60"/>
              <w:left w:type="dxa" w:w="100"/>
              <w:bottom w:type="dxa" w:w="60"/>
              <w:right w:type="dxa" w:w="100"/>
            </w:tcMar>
          </w:tcPr>
          <w:p>
            <w:r>
              <w:rPr>
                <w:b/>
                <w:bCs/>
                <w:sz w:val="19"/>
                <w:szCs w:val="19"/>
              </w:rPr>
              <w:t xml:space="preserve">Representation</w:t>
            </w:r>
          </w:p>
        </w:tc>
        <w:tc>
          <w:tcPr>
            <w:tcW w:type="dxa" w:w="1872"/>
            <w:shd w:fill="E8E8E8" w:val="clear"/>
            <w:tcMar>
              <w:top w:type="dxa" w:w="60"/>
              <w:left w:type="dxa" w:w="100"/>
              <w:bottom w:type="dxa" w:w="60"/>
              <w:right w:type="dxa" w:w="100"/>
            </w:tcMar>
          </w:tcPr>
          <w:p>
            <w:r>
              <w:rPr>
                <w:b/>
                <w:bCs/>
                <w:sz w:val="19"/>
                <w:szCs w:val="19"/>
              </w:rPr>
              <w:t xml:space="preserve">RMSE</w:t>
            </w:r>
          </w:p>
        </w:tc>
        <w:tc>
          <w:tcPr>
            <w:tcW w:type="dxa" w:w="1872"/>
            <w:shd w:fill="E8E8E8" w:val="clear"/>
            <w:tcMar>
              <w:top w:type="dxa" w:w="60"/>
              <w:left w:type="dxa" w:w="100"/>
              <w:bottom w:type="dxa" w:w="60"/>
              <w:right w:type="dxa" w:w="100"/>
            </w:tcMar>
          </w:tcPr>
          <w:p>
            <w:r>
              <w:rPr>
                <w:b/>
                <w:bCs/>
                <w:sz w:val="19"/>
                <w:szCs w:val="19"/>
              </w:rPr>
              <w:t xml:space="preserve">R²</w:t>
            </w:r>
          </w:p>
        </w:tc>
        <w:tc>
          <w:tcPr>
            <w:tcW w:type="dxa" w:w="1872"/>
            <w:shd w:fill="E8E8E8" w:val="clear"/>
            <w:tcMar>
              <w:top w:type="dxa" w:w="60"/>
              <w:left w:type="dxa" w:w="100"/>
              <w:bottom w:type="dxa" w:w="60"/>
              <w:right w:type="dxa" w:w="100"/>
            </w:tcMar>
          </w:tcPr>
          <w:p>
            <w:r>
              <w:rPr>
                <w:b/>
                <w:bCs/>
                <w:sz w:val="19"/>
                <w:szCs w:val="19"/>
              </w:rPr>
              <w:t xml:space="preserve">Seeds</w:t>
            </w:r>
          </w:p>
        </w:tc>
      </w:tr>
      <w:tr>
        <w:trPr>
          <w:cantSplit/>
        </w:trPr>
        <w:tc>
          <w:tcPr>
            <w:tcW w:type="dxa" w:w="1872"/>
            <w:tcMar>
              <w:top w:type="dxa" w:w="60"/>
              <w:left w:type="dxa" w:w="100"/>
              <w:bottom w:type="dxa" w:w="60"/>
              <w:right w:type="dxa" w:w="100"/>
            </w:tcMar>
          </w:tcPr>
          <w:p>
            <w:r>
              <w:rPr>
                <w:b w:val="false"/>
                <w:bCs w:val="false"/>
                <w:sz w:val="19"/>
                <w:szCs w:val="19"/>
              </w:rPr>
              <w:t xml:space="preserve">Mean predictor</w:t>
            </w:r>
          </w:p>
        </w:tc>
        <w:tc>
          <w:tcPr>
            <w:tcW w:type="dxa" w:w="1872"/>
            <w:tcMar>
              <w:top w:type="dxa" w:w="60"/>
              <w:left w:type="dxa" w:w="100"/>
              <w:bottom w:type="dxa" w:w="60"/>
              <w:right w:type="dxa" w:w="100"/>
            </w:tcMar>
          </w:tcPr>
          <w:p>
            <w:r>
              <w:rPr>
                <w:b w:val="false"/>
                <w:bCs w:val="false"/>
                <w:sz w:val="19"/>
                <w:szCs w:val="19"/>
              </w:rPr>
              <w:t xml:space="preserve">none</w:t>
            </w:r>
          </w:p>
        </w:tc>
        <w:tc>
          <w:tcPr>
            <w:tcW w:type="dxa" w:w="1872"/>
            <w:tcMar>
              <w:top w:type="dxa" w:w="60"/>
              <w:left w:type="dxa" w:w="100"/>
              <w:bottom w:type="dxa" w:w="60"/>
              <w:right w:type="dxa" w:w="100"/>
            </w:tcMar>
          </w:tcPr>
          <w:p>
            <w:r>
              <w:rPr>
                <w:b w:val="false"/>
                <w:bCs w:val="false"/>
                <w:sz w:val="19"/>
                <w:szCs w:val="19"/>
              </w:rPr>
              <w:t xml:space="preserve">0.801</w:t>
            </w:r>
          </w:p>
        </w:tc>
        <w:tc>
          <w:tcPr>
            <w:tcW w:type="dxa" w:w="1872"/>
            <w:tcMar>
              <w:top w:type="dxa" w:w="60"/>
              <w:left w:type="dxa" w:w="100"/>
              <w:bottom w:type="dxa" w:w="60"/>
              <w:right w:type="dxa" w:w="100"/>
            </w:tcMar>
          </w:tcPr>
          <w:p>
            <w:r>
              <w:rPr>
                <w:b w:val="false"/>
                <w:bCs w:val="false"/>
                <w:sz w:val="19"/>
                <w:szCs w:val="19"/>
              </w:rPr>
              <w:t xml:space="preserve">0.000</w:t>
            </w:r>
          </w:p>
        </w:tc>
        <w:tc>
          <w:tcPr>
            <w:tcW w:type="dxa" w:w="1872"/>
            <w:tcMar>
              <w:top w:type="dxa" w:w="60"/>
              <w:left w:type="dxa" w:w="100"/>
              <w:bottom w:type="dxa" w:w="60"/>
              <w:right w:type="dxa" w:w="100"/>
            </w:tcMar>
          </w:tcPr>
          <w:p>
            <w:r>
              <w:rPr>
                <w:b w:val="false"/>
                <w:bCs w:val="false"/>
                <w:sz w:val="19"/>
                <w:szCs w:val="19"/>
              </w:rPr>
              <w:t xml:space="preserve">—</w:t>
            </w:r>
          </w:p>
        </w:tc>
      </w:tr>
      <w:tr>
        <w:trPr>
          <w:cantSplit/>
        </w:trPr>
        <w:tc>
          <w:tcPr>
            <w:tcW w:type="dxa" w:w="1872"/>
            <w:tcMar>
              <w:top w:type="dxa" w:w="60"/>
              <w:left w:type="dxa" w:w="100"/>
              <w:bottom w:type="dxa" w:w="60"/>
              <w:right w:type="dxa" w:w="100"/>
            </w:tcMar>
          </w:tcPr>
          <w:p>
            <w:r>
              <w:rPr>
                <w:b w:val="false"/>
                <w:bCs w:val="false"/>
                <w:sz w:val="19"/>
                <w:szCs w:val="19"/>
              </w:rPr>
              <w:t xml:space="preserve">Tanimoto 5-NN</w:t>
            </w:r>
          </w:p>
        </w:tc>
        <w:tc>
          <w:tcPr>
            <w:tcW w:type="dxa" w:w="1872"/>
            <w:tcMar>
              <w:top w:type="dxa" w:w="60"/>
              <w:left w:type="dxa" w:w="100"/>
              <w:bottom w:type="dxa" w:w="60"/>
              <w:right w:type="dxa" w:w="100"/>
            </w:tcMar>
          </w:tcPr>
          <w:p>
            <w:r>
              <w:rPr>
                <w:b w:val="false"/>
                <w:bCs w:val="false"/>
                <w:sz w:val="19"/>
                <w:szCs w:val="19"/>
              </w:rPr>
              <w:t xml:space="preserve">ECFP4, 2048 bit</w:t>
            </w:r>
          </w:p>
        </w:tc>
        <w:tc>
          <w:tcPr>
            <w:tcW w:type="dxa" w:w="1872"/>
            <w:tcMar>
              <w:top w:type="dxa" w:w="60"/>
              <w:left w:type="dxa" w:w="100"/>
              <w:bottom w:type="dxa" w:w="60"/>
              <w:right w:type="dxa" w:w="100"/>
            </w:tcMar>
          </w:tcPr>
          <w:p>
            <w:r>
              <w:rPr>
                <w:b w:val="false"/>
                <w:bCs w:val="false"/>
                <w:sz w:val="19"/>
                <w:szCs w:val="19"/>
              </w:rPr>
              <w:t xml:space="preserve">0.509</w:t>
            </w:r>
          </w:p>
        </w:tc>
        <w:tc>
          <w:tcPr>
            <w:tcW w:type="dxa" w:w="1872"/>
            <w:tcMar>
              <w:top w:type="dxa" w:w="60"/>
              <w:left w:type="dxa" w:w="100"/>
              <w:bottom w:type="dxa" w:w="60"/>
              <w:right w:type="dxa" w:w="100"/>
            </w:tcMar>
          </w:tcPr>
          <w:p>
            <w:r>
              <w:rPr>
                <w:b w:val="false"/>
                <w:bCs w:val="false"/>
                <w:sz w:val="19"/>
                <w:szCs w:val="19"/>
              </w:rPr>
              <w:t xml:space="preserve">0.561</w:t>
            </w:r>
          </w:p>
        </w:tc>
        <w:tc>
          <w:tcPr>
            <w:tcW w:type="dxa" w:w="1872"/>
            <w:tcMar>
              <w:top w:type="dxa" w:w="60"/>
              <w:left w:type="dxa" w:w="100"/>
              <w:bottom w:type="dxa" w:w="60"/>
              <w:right w:type="dxa" w:w="100"/>
            </w:tcMar>
          </w:tcPr>
          <w:p>
            <w:r>
              <w:rPr>
                <w:b w:val="false"/>
                <w:bCs w:val="false"/>
                <w:sz w:val="19"/>
                <w:szCs w:val="19"/>
              </w:rPr>
              <w:t xml:space="preserve">—</w:t>
            </w:r>
          </w:p>
        </w:tc>
      </w:tr>
      <w:tr>
        <w:trPr>
          <w:cantSplit/>
        </w:trPr>
        <w:tc>
          <w:tcPr>
            <w:tcW w:type="dxa" w:w="1872"/>
            <w:tcMar>
              <w:top w:type="dxa" w:w="60"/>
              <w:left w:type="dxa" w:w="100"/>
              <w:bottom w:type="dxa" w:w="60"/>
              <w:right w:type="dxa" w:w="100"/>
            </w:tcMar>
          </w:tcPr>
          <w:p>
            <w:r>
              <w:rPr>
                <w:b w:val="false"/>
                <w:bCs w:val="false"/>
                <w:sz w:val="19"/>
                <w:szCs w:val="19"/>
              </w:rPr>
              <w:t xml:space="preserve">Chemprop D-MPNN</w:t>
            </w:r>
          </w:p>
        </w:tc>
        <w:tc>
          <w:tcPr>
            <w:tcW w:type="dxa" w:w="1872"/>
            <w:tcMar>
              <w:top w:type="dxa" w:w="60"/>
              <w:left w:type="dxa" w:w="100"/>
              <w:bottom w:type="dxa" w:w="60"/>
              <w:right w:type="dxa" w:w="100"/>
            </w:tcMar>
          </w:tcPr>
          <w:p>
            <w:r>
              <w:rPr>
                <w:b w:val="false"/>
                <w:bCs w:val="false"/>
                <w:sz w:val="19"/>
                <w:szCs w:val="19"/>
              </w:rPr>
              <w:t xml:space="preserve">learned graph, 318K params</w:t>
            </w:r>
          </w:p>
        </w:tc>
        <w:tc>
          <w:tcPr>
            <w:tcW w:type="dxa" w:w="1872"/>
            <w:tcMar>
              <w:top w:type="dxa" w:w="60"/>
              <w:left w:type="dxa" w:w="100"/>
              <w:bottom w:type="dxa" w:w="60"/>
              <w:right w:type="dxa" w:w="100"/>
            </w:tcMar>
          </w:tcPr>
          <w:p>
            <w:r>
              <w:rPr>
                <w:b w:val="false"/>
                <w:bCs w:val="false"/>
                <w:sz w:val="19"/>
                <w:szCs w:val="19"/>
              </w:rPr>
              <w:t xml:space="preserve">0.504 ± 0.004</w:t>
            </w:r>
          </w:p>
        </w:tc>
        <w:tc>
          <w:tcPr>
            <w:tcW w:type="dxa" w:w="1872"/>
            <w:tcMar>
              <w:top w:type="dxa" w:w="60"/>
              <w:left w:type="dxa" w:w="100"/>
              <w:bottom w:type="dxa" w:w="60"/>
              <w:right w:type="dxa" w:w="100"/>
            </w:tcMar>
          </w:tcPr>
          <w:p>
            <w:r>
              <w:rPr>
                <w:b w:val="false"/>
                <w:bCs w:val="false"/>
                <w:sz w:val="19"/>
                <w:szCs w:val="19"/>
              </w:rPr>
              <w:t xml:space="preserve">0.569</w:t>
            </w:r>
          </w:p>
        </w:tc>
        <w:tc>
          <w:tcPr>
            <w:tcW w:type="dxa" w:w="1872"/>
            <w:tcMar>
              <w:top w:type="dxa" w:w="60"/>
              <w:left w:type="dxa" w:w="100"/>
              <w:bottom w:type="dxa" w:w="60"/>
              <w:right w:type="dxa" w:w="100"/>
            </w:tcMar>
          </w:tcPr>
          <w:p>
            <w:r>
              <w:rPr>
                <w:b w:val="false"/>
                <w:bCs w:val="false"/>
                <w:sz w:val="19"/>
                <w:szCs w:val="19"/>
              </w:rPr>
              <w:t xml:space="preserve">3</w:t>
            </w:r>
          </w:p>
        </w:tc>
      </w:tr>
      <w:tr>
        <w:trPr>
          <w:cantSplit/>
        </w:trPr>
        <w:tc>
          <w:tcPr>
            <w:tcW w:type="dxa" w:w="1872"/>
            <w:tcMar>
              <w:top w:type="dxa" w:w="60"/>
              <w:left w:type="dxa" w:w="100"/>
              <w:bottom w:type="dxa" w:w="60"/>
              <w:right w:type="dxa" w:w="100"/>
            </w:tcMar>
          </w:tcPr>
          <w:p>
            <w:r>
              <w:rPr>
                <w:b w:val="false"/>
                <w:bCs w:val="false"/>
                <w:sz w:val="19"/>
                <w:szCs w:val="19"/>
              </w:rPr>
              <w:t xml:space="preserve">LightGBM</w:t>
            </w:r>
          </w:p>
        </w:tc>
        <w:tc>
          <w:tcPr>
            <w:tcW w:type="dxa" w:w="1872"/>
            <w:tcMar>
              <w:top w:type="dxa" w:w="60"/>
              <w:left w:type="dxa" w:w="100"/>
              <w:bottom w:type="dxa" w:w="60"/>
              <w:right w:type="dxa" w:w="100"/>
            </w:tcMar>
          </w:tcPr>
          <w:p>
            <w:r>
              <w:rPr>
                <w:b w:val="false"/>
                <w:bCs w:val="false"/>
                <w:sz w:val="19"/>
                <w:szCs w:val="19"/>
              </w:rPr>
              <w:t xml:space="preserve">ECFP4 + 217 RDKit descriptors</w:t>
            </w:r>
          </w:p>
        </w:tc>
        <w:tc>
          <w:tcPr>
            <w:tcW w:type="dxa" w:w="1872"/>
            <w:tcMar>
              <w:top w:type="dxa" w:w="60"/>
              <w:left w:type="dxa" w:w="100"/>
              <w:bottom w:type="dxa" w:w="60"/>
              <w:right w:type="dxa" w:w="100"/>
            </w:tcMar>
          </w:tcPr>
          <w:p>
            <w:r>
              <w:rPr>
                <w:b w:val="false"/>
                <w:bCs w:val="false"/>
                <w:sz w:val="19"/>
                <w:szCs w:val="19"/>
              </w:rPr>
              <w:t xml:space="preserve">0.445</w:t>
            </w:r>
          </w:p>
        </w:tc>
        <w:tc>
          <w:tcPr>
            <w:tcW w:type="dxa" w:w="1872"/>
            <w:tcMar>
              <w:top w:type="dxa" w:w="60"/>
              <w:left w:type="dxa" w:w="100"/>
              <w:bottom w:type="dxa" w:w="60"/>
              <w:right w:type="dxa" w:w="100"/>
            </w:tcMar>
          </w:tcPr>
          <w:p>
            <w:r>
              <w:rPr>
                <w:b w:val="false"/>
                <w:bCs w:val="false"/>
                <w:sz w:val="19"/>
                <w:szCs w:val="19"/>
              </w:rPr>
              <w:t xml:space="preserve">0.664</w:t>
            </w:r>
          </w:p>
        </w:tc>
        <w:tc>
          <w:tcPr>
            <w:tcW w:type="dxa" w:w="1872"/>
            <w:tcMar>
              <w:top w:type="dxa" w:w="60"/>
              <w:left w:type="dxa" w:w="100"/>
              <w:bottom w:type="dxa" w:w="60"/>
              <w:right w:type="dxa" w:w="100"/>
            </w:tcMar>
          </w:tcPr>
          <w:p>
            <w:r>
              <w:rPr>
                <w:b w:val="false"/>
                <w:bCs w:val="false"/>
                <w:sz w:val="19"/>
                <w:szCs w:val="19"/>
              </w:rPr>
              <w:t xml:space="preserve">5</w:t>
            </w:r>
          </w:p>
        </w:tc>
      </w:tr>
    </w:tbl>
    <w:p>
      <w:pPr>
        <w:spacing w:after="140"/>
      </w:pPr>
    </w:p>
    <w:p>
      <w:pPr>
        <w:spacing w:after="140" w:line="300"/>
      </w:pPr>
      <w:r>
        <w:t xml:space="preserve">LightGBM hyperparameters: n_estimators = 500, learning_rate = 0.05, num_leaves = 31. On the random split for contrast, the baseline scored 0.411 (R² 0.689) and LightGBM 0.338 (R² 0.789).</w:t>
      </w:r>
    </w:p>
    <w:p>
      <w:pPr>
        <w:spacing w:after="140" w:line="300"/>
      </w:pPr>
      <w:r>
        <w:t xml:space="preserve">Matched test sets were enforced explicitly. Chemprop initially scored RMSE 0.467 on its own internally generated scaffold split (n = 174), appearing to outperform both the baseline and LightGBM. Forced onto the project split (n = 260) via an explicit splits file, its error rose to 0.510, the baseline value. The apparent advantage was an easier test set rather than a better model.</w:t>
      </w:r>
    </w:p>
    <w:p>
      <w:pPr>
        <w:spacing w:after="80" w:before="220"/>
        <w:jc w:val="center"/>
      </w:pPr>
      <w:r>
        <w:drawing>
          <wp:inline distT="0" distB="0" distL="0" distR="0">
            <wp:extent cx="5715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67025"/>
                    </a:xfrm>
                    <a:prstGeom prst="rect">
                      <a:avLst/>
                    </a:prstGeom>
                  </pic:spPr>
                </pic:pic>
              </a:graphicData>
            </a:graphic>
          </wp:inline>
        </w:drawing>
      </w:r>
    </w:p>
    <w:p>
      <w:pPr>
        <w:spacing w:after="240"/>
        <w:jc w:val="center"/>
      </w:pPr>
      <w:r>
        <w:rPr>
          <w:b/>
          <w:bCs/>
          <w:sz w:val="19"/>
          <w:szCs w:val="19"/>
        </w:rPr>
        <w:t xml:space="preserve">Figure 1. </w:t>
      </w:r>
      <w:r>
        <w:rPr>
          <w:sz w:val="19"/>
          <w:szCs w:val="19"/>
        </w:rPr>
        <w:t xml:space="preserve">Model benchmark on the matched 260-compound scaffold-split test set. The graph neural network is statistically indistinguishable from nearest-neighbour similarity search despite 318,000 learned parameters.</w:t>
      </w:r>
    </w:p>
    <w:p>
      <w:pPr>
        <w:pStyle w:val="Heading2"/>
        <w:spacing w:after="120" w:before="260"/>
      </w:pPr>
      <w:r>
        <w:t xml:space="preserve">2.5 Final model and library screening</w:t>
      </w:r>
    </w:p>
    <w:p>
      <w:pPr>
        <w:spacing w:after="140" w:line="300"/>
      </w:pPr>
      <w:r>
        <w:t xml:space="preserve">The final model was LightGBM retrained on all 870 compounds with hyperparameters identical to the benchmark. The screening library was assembled from ZINC20 2D tranches (molecular-weight bins C–J, logP bins A–E, reactivity class A, purchasability A and B — in stock and orderable, not make-on-demand). Eighty tranche files yielded 3,204,633 unique molecules after deduplication. Scoring took 200.6 minutes on eight cores, approximately 270 molecules per second; one SMILES was unparseable, leaving 3,204,632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shd w:fill="E8E8E8" w:val="clear"/>
            <w:tcMar>
              <w:top w:type="dxa" w:w="60"/>
              <w:left w:type="dxa" w:w="100"/>
              <w:bottom w:type="dxa" w:w="60"/>
              <w:right w:type="dxa" w:w="100"/>
            </w:tcMar>
          </w:tcPr>
          <w:p>
            <w:r>
              <w:rPr>
                <w:b/>
                <w:bCs/>
                <w:sz w:val="19"/>
                <w:szCs w:val="19"/>
              </w:rPr>
              <w:t xml:space="preserve"/>
            </w:r>
          </w:p>
        </w:tc>
        <w:tc>
          <w:tcPr>
            <w:tcW w:type="dxa" w:w="3120"/>
            <w:shd w:fill="E8E8E8" w:val="clear"/>
            <w:tcMar>
              <w:top w:type="dxa" w:w="60"/>
              <w:left w:type="dxa" w:w="100"/>
              <w:bottom w:type="dxa" w:w="60"/>
              <w:right w:type="dxa" w:w="100"/>
            </w:tcMar>
          </w:tcPr>
          <w:p>
            <w:r>
              <w:rPr>
                <w:b/>
                <w:bCs/>
                <w:sz w:val="19"/>
                <w:szCs w:val="19"/>
              </w:rPr>
              <w:t xml:space="preserve">Training set</w:t>
            </w:r>
          </w:p>
        </w:tc>
        <w:tc>
          <w:tcPr>
            <w:tcW w:type="dxa" w:w="3120"/>
            <w:shd w:fill="E8E8E8" w:val="clear"/>
            <w:tcMar>
              <w:top w:type="dxa" w:w="60"/>
              <w:left w:type="dxa" w:w="100"/>
              <w:bottom w:type="dxa" w:w="60"/>
              <w:right w:type="dxa" w:w="100"/>
            </w:tcMar>
          </w:tcPr>
          <w:p>
            <w:r>
              <w:rPr>
                <w:b/>
                <w:bCs/>
                <w:sz w:val="19"/>
                <w:szCs w:val="19"/>
              </w:rPr>
              <w:t xml:space="preserve">Screened library</w:t>
            </w:r>
          </w:p>
        </w:tc>
      </w:tr>
      <w:tr>
        <w:trPr>
          <w:cantSplit/>
        </w:trPr>
        <w:tc>
          <w:tcPr>
            <w:tcW w:type="dxa" w:w="3120"/>
            <w:tcMar>
              <w:top w:type="dxa" w:w="60"/>
              <w:left w:type="dxa" w:w="100"/>
              <w:bottom w:type="dxa" w:w="60"/>
              <w:right w:type="dxa" w:w="100"/>
            </w:tcMar>
          </w:tcPr>
          <w:p>
            <w:r>
              <w:rPr>
                <w:b w:val="false"/>
                <w:bCs w:val="false"/>
                <w:sz w:val="19"/>
                <w:szCs w:val="19"/>
              </w:rPr>
              <w:t xml:space="preserve">Maximum</w:t>
            </w:r>
          </w:p>
        </w:tc>
        <w:tc>
          <w:tcPr>
            <w:tcW w:type="dxa" w:w="3120"/>
            <w:tcMar>
              <w:top w:type="dxa" w:w="60"/>
              <w:left w:type="dxa" w:w="100"/>
              <w:bottom w:type="dxa" w:w="60"/>
              <w:right w:type="dxa" w:w="100"/>
            </w:tcMar>
          </w:tcPr>
          <w:p>
            <w:r>
              <w:rPr>
                <w:b w:val="false"/>
                <w:bCs w:val="false"/>
                <w:sz w:val="19"/>
                <w:szCs w:val="19"/>
              </w:rPr>
              <w:t xml:space="preserve">8.32</w:t>
            </w:r>
          </w:p>
        </w:tc>
        <w:tc>
          <w:tcPr>
            <w:tcW w:type="dxa" w:w="3120"/>
            <w:tcMar>
              <w:top w:type="dxa" w:w="60"/>
              <w:left w:type="dxa" w:w="100"/>
              <w:bottom w:type="dxa" w:w="60"/>
              <w:right w:type="dxa" w:w="100"/>
            </w:tcMar>
          </w:tcPr>
          <w:p>
            <w:r>
              <w:rPr>
                <w:b w:val="false"/>
                <w:bCs w:val="false"/>
                <w:sz w:val="19"/>
                <w:szCs w:val="19"/>
              </w:rPr>
              <w:t xml:space="preserve">6.73</w:t>
            </w:r>
          </w:p>
        </w:tc>
      </w:tr>
      <w:tr>
        <w:trPr>
          <w:cantSplit/>
        </w:trPr>
        <w:tc>
          <w:tcPr>
            <w:tcW w:type="dxa" w:w="3120"/>
            <w:tcMar>
              <w:top w:type="dxa" w:w="60"/>
              <w:left w:type="dxa" w:w="100"/>
              <w:bottom w:type="dxa" w:w="60"/>
              <w:right w:type="dxa" w:w="100"/>
            </w:tcMar>
          </w:tcPr>
          <w:p>
            <w:r>
              <w:rPr>
                <w:b w:val="false"/>
                <w:bCs w:val="false"/>
                <w:sz w:val="19"/>
                <w:szCs w:val="19"/>
              </w:rPr>
              <w:t xml:space="preserve">Mean</w:t>
            </w:r>
          </w:p>
        </w:tc>
        <w:tc>
          <w:tcPr>
            <w:tcW w:type="dxa" w:w="3120"/>
            <w:tcMar>
              <w:top w:type="dxa" w:w="60"/>
              <w:left w:type="dxa" w:w="100"/>
              <w:bottom w:type="dxa" w:w="60"/>
              <w:right w:type="dxa" w:w="100"/>
            </w:tcMar>
          </w:tcPr>
          <w:p>
            <w:r>
              <w:rPr>
                <w:b w:val="false"/>
                <w:bCs w:val="false"/>
                <w:sz w:val="19"/>
                <w:szCs w:val="19"/>
              </w:rPr>
              <w:t xml:space="preserve">6.155</w:t>
            </w:r>
          </w:p>
        </w:tc>
        <w:tc>
          <w:tcPr>
            <w:tcW w:type="dxa" w:w="3120"/>
            <w:tcMar>
              <w:top w:type="dxa" w:w="60"/>
              <w:left w:type="dxa" w:w="100"/>
              <w:bottom w:type="dxa" w:w="60"/>
              <w:right w:type="dxa" w:w="100"/>
            </w:tcMar>
          </w:tcPr>
          <w:p>
            <w:r>
              <w:rPr>
                <w:b w:val="false"/>
                <w:bCs w:val="false"/>
                <w:sz w:val="19"/>
                <w:szCs w:val="19"/>
              </w:rPr>
              <w:t xml:space="preserve">4.94</w:t>
            </w:r>
          </w:p>
        </w:tc>
      </w:tr>
      <w:tr>
        <w:trPr>
          <w:cantSplit/>
        </w:trPr>
        <w:tc>
          <w:tcPr>
            <w:tcW w:type="dxa" w:w="3120"/>
            <w:tcMar>
              <w:top w:type="dxa" w:w="60"/>
              <w:left w:type="dxa" w:w="100"/>
              <w:bottom w:type="dxa" w:w="60"/>
              <w:right w:type="dxa" w:w="100"/>
            </w:tcMar>
          </w:tcPr>
          <w:p>
            <w:r>
              <w:rPr>
                <w:b w:val="false"/>
                <w:bCs w:val="false"/>
                <w:sz w:val="19"/>
                <w:szCs w:val="19"/>
              </w:rPr>
              <w:t xml:space="preserve">Minimum</w:t>
            </w:r>
          </w:p>
        </w:tc>
        <w:tc>
          <w:tcPr>
            <w:tcW w:type="dxa" w:w="3120"/>
            <w:tcMar>
              <w:top w:type="dxa" w:w="60"/>
              <w:left w:type="dxa" w:w="100"/>
              <w:bottom w:type="dxa" w:w="60"/>
              <w:right w:type="dxa" w:w="100"/>
            </w:tcMar>
          </w:tcPr>
          <w:p>
            <w:r>
              <w:rPr>
                <w:b w:val="false"/>
                <w:bCs w:val="false"/>
                <w:sz w:val="19"/>
                <w:szCs w:val="19"/>
              </w:rPr>
              <w:t xml:space="preserve">4.06</w:t>
            </w:r>
          </w:p>
        </w:tc>
        <w:tc>
          <w:tcPr>
            <w:tcW w:type="dxa" w:w="3120"/>
            <w:tcMar>
              <w:top w:type="dxa" w:w="60"/>
              <w:left w:type="dxa" w:w="100"/>
              <w:bottom w:type="dxa" w:w="60"/>
              <w:right w:type="dxa" w:w="100"/>
            </w:tcMar>
          </w:tcPr>
          <w:p>
            <w:r>
              <w:rPr>
                <w:b w:val="false"/>
                <w:bCs w:val="false"/>
                <w:sz w:val="19"/>
                <w:szCs w:val="19"/>
              </w:rPr>
              <w:t xml:space="preserve">4.11</w:t>
            </w:r>
          </w:p>
        </w:tc>
      </w:tr>
    </w:tbl>
    <w:p>
      <w:pPr>
        <w:spacing w:after="140"/>
      </w:pPr>
    </w:p>
    <w:p>
      <w:pPr>
        <w:spacing w:after="140" w:line="300"/>
      </w:pPr>
      <w:r>
        <w:t xml:space="preserve">For reproduction: files.docking.org rejects the default Python-urllib user-agent; a browser user-agent header is required or every request returns an HTTP error.</w:t>
      </w:r>
    </w:p>
    <w:p>
      <w:pPr>
        <w:pStyle w:val="Heading2"/>
        <w:spacing w:after="120" w:before="260"/>
      </w:pPr>
      <w:r>
        <w:t xml:space="preserve">2.6 Novelty assessment</w:t>
      </w:r>
    </w:p>
    <w:p>
      <w:pPr>
        <w:spacing w:after="140" w:line="300"/>
      </w:pPr>
      <w:r>
        <w:t xml:space="preserve">Maximum Tanimoto similarity (ECFP4, 2048 bit) was computed from each of the top 5,000 hits to the nearest of the 870 training compounds.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shd w:fill="E8E8E8" w:val="clear"/>
            <w:tcMar>
              <w:top w:type="dxa" w:w="60"/>
              <w:left w:type="dxa" w:w="100"/>
              <w:bottom w:type="dxa" w:w="60"/>
              <w:right w:type="dxa" w:w="100"/>
            </w:tcMar>
          </w:tcPr>
          <w:p>
            <w:r>
              <w:rPr>
                <w:b/>
                <w:bCs/>
                <w:sz w:val="19"/>
                <w:szCs w:val="19"/>
              </w:rPr>
              <w:t xml:space="preserve">Similarity band</w:t>
            </w:r>
          </w:p>
        </w:tc>
        <w:tc>
          <w:tcPr>
            <w:tcW w:type="dxa" w:w="3120"/>
            <w:shd w:fill="E8E8E8" w:val="clear"/>
            <w:tcMar>
              <w:top w:type="dxa" w:w="60"/>
              <w:left w:type="dxa" w:w="100"/>
              <w:bottom w:type="dxa" w:w="60"/>
              <w:right w:type="dxa" w:w="100"/>
            </w:tcMar>
          </w:tcPr>
          <w:p>
            <w:r>
              <w:rPr>
                <w:b/>
                <w:bCs/>
                <w:sz w:val="19"/>
                <w:szCs w:val="19"/>
              </w:rPr>
              <w:t xml:space="preserve">n</w:t>
            </w:r>
          </w:p>
        </w:tc>
        <w:tc>
          <w:tcPr>
            <w:tcW w:type="dxa" w:w="3120"/>
            <w:shd w:fill="E8E8E8" w:val="clear"/>
            <w:tcMar>
              <w:top w:type="dxa" w:w="60"/>
              <w:left w:type="dxa" w:w="100"/>
              <w:bottom w:type="dxa" w:w="60"/>
              <w:right w:type="dxa" w:w="100"/>
            </w:tcMar>
          </w:tcPr>
          <w:p>
            <w:r>
              <w:rPr>
                <w:b/>
                <w:bCs/>
                <w:sz w:val="19"/>
                <w:szCs w:val="19"/>
              </w:rPr>
              <w:t xml:space="preserve">%</w:t>
            </w:r>
          </w:p>
        </w:tc>
      </w:tr>
      <w:tr>
        <w:trPr>
          <w:cantSplit/>
        </w:trPr>
        <w:tc>
          <w:tcPr>
            <w:tcW w:type="dxa" w:w="3120"/>
            <w:tcMar>
              <w:top w:type="dxa" w:w="60"/>
              <w:left w:type="dxa" w:w="100"/>
              <w:bottom w:type="dxa" w:w="60"/>
              <w:right w:type="dxa" w:w="100"/>
            </w:tcMar>
          </w:tcPr>
          <w:p>
            <w:r>
              <w:rPr>
                <w:b w:val="false"/>
                <w:bCs w:val="false"/>
                <w:sz w:val="19"/>
                <w:szCs w:val="19"/>
              </w:rPr>
              <w:t xml:space="preserve">0.0–0.3 (very novel)</w:t>
            </w:r>
          </w:p>
        </w:tc>
        <w:tc>
          <w:tcPr>
            <w:tcW w:type="dxa" w:w="3120"/>
            <w:tcMar>
              <w:top w:type="dxa" w:w="60"/>
              <w:left w:type="dxa" w:w="100"/>
              <w:bottom w:type="dxa" w:w="60"/>
              <w:right w:type="dxa" w:w="100"/>
            </w:tcMar>
          </w:tcPr>
          <w:p>
            <w:r>
              <w:rPr>
                <w:b w:val="false"/>
                <w:bCs w:val="false"/>
                <w:sz w:val="19"/>
                <w:szCs w:val="19"/>
              </w:rPr>
              <w:t xml:space="preserve">4,428</w:t>
            </w:r>
          </w:p>
        </w:tc>
        <w:tc>
          <w:tcPr>
            <w:tcW w:type="dxa" w:w="3120"/>
            <w:tcMar>
              <w:top w:type="dxa" w:w="60"/>
              <w:left w:type="dxa" w:w="100"/>
              <w:bottom w:type="dxa" w:w="60"/>
              <w:right w:type="dxa" w:w="100"/>
            </w:tcMar>
          </w:tcPr>
          <w:p>
            <w:r>
              <w:rPr>
                <w:b w:val="false"/>
                <w:bCs w:val="false"/>
                <w:sz w:val="19"/>
                <w:szCs w:val="19"/>
              </w:rPr>
              <w:t xml:space="preserve">88.6</w:t>
            </w:r>
          </w:p>
        </w:tc>
      </w:tr>
      <w:tr>
        <w:trPr>
          <w:cantSplit/>
        </w:trPr>
        <w:tc>
          <w:tcPr>
            <w:tcW w:type="dxa" w:w="3120"/>
            <w:tcMar>
              <w:top w:type="dxa" w:w="60"/>
              <w:left w:type="dxa" w:w="100"/>
              <w:bottom w:type="dxa" w:w="60"/>
              <w:right w:type="dxa" w:w="100"/>
            </w:tcMar>
          </w:tcPr>
          <w:p>
            <w:r>
              <w:rPr>
                <w:b w:val="false"/>
                <w:bCs w:val="false"/>
                <w:sz w:val="19"/>
                <w:szCs w:val="19"/>
              </w:rPr>
              <w:t xml:space="preserve">0.3–0.4 (novel)</w:t>
            </w:r>
          </w:p>
        </w:tc>
        <w:tc>
          <w:tcPr>
            <w:tcW w:type="dxa" w:w="3120"/>
            <w:tcMar>
              <w:top w:type="dxa" w:w="60"/>
              <w:left w:type="dxa" w:w="100"/>
              <w:bottom w:type="dxa" w:w="60"/>
              <w:right w:type="dxa" w:w="100"/>
            </w:tcMar>
          </w:tcPr>
          <w:p>
            <w:r>
              <w:rPr>
                <w:b w:val="false"/>
                <w:bCs w:val="false"/>
                <w:sz w:val="19"/>
                <w:szCs w:val="19"/>
              </w:rPr>
              <w:t xml:space="preserve">425</w:t>
            </w:r>
          </w:p>
        </w:tc>
        <w:tc>
          <w:tcPr>
            <w:tcW w:type="dxa" w:w="3120"/>
            <w:tcMar>
              <w:top w:type="dxa" w:w="60"/>
              <w:left w:type="dxa" w:w="100"/>
              <w:bottom w:type="dxa" w:w="60"/>
              <w:right w:type="dxa" w:w="100"/>
            </w:tcMar>
          </w:tcPr>
          <w:p>
            <w:r>
              <w:rPr>
                <w:b w:val="false"/>
                <w:bCs w:val="false"/>
                <w:sz w:val="19"/>
                <w:szCs w:val="19"/>
              </w:rPr>
              <w:t xml:space="preserve">8.5</w:t>
            </w:r>
          </w:p>
        </w:tc>
      </w:tr>
      <w:tr>
        <w:trPr>
          <w:cantSplit/>
        </w:trPr>
        <w:tc>
          <w:tcPr>
            <w:tcW w:type="dxa" w:w="3120"/>
            <w:tcMar>
              <w:top w:type="dxa" w:w="60"/>
              <w:left w:type="dxa" w:w="100"/>
              <w:bottom w:type="dxa" w:w="60"/>
              <w:right w:type="dxa" w:w="100"/>
            </w:tcMar>
          </w:tcPr>
          <w:p>
            <w:r>
              <w:rPr>
                <w:b w:val="false"/>
                <w:bCs w:val="false"/>
                <w:sz w:val="19"/>
                <w:szCs w:val="19"/>
              </w:rPr>
              <w:t xml:space="preserve">0.4–0.6 (related)</w:t>
            </w:r>
          </w:p>
        </w:tc>
        <w:tc>
          <w:tcPr>
            <w:tcW w:type="dxa" w:w="3120"/>
            <w:tcMar>
              <w:top w:type="dxa" w:w="60"/>
              <w:left w:type="dxa" w:w="100"/>
              <w:bottom w:type="dxa" w:w="60"/>
              <w:right w:type="dxa" w:w="100"/>
            </w:tcMar>
          </w:tcPr>
          <w:p>
            <w:r>
              <w:rPr>
                <w:b w:val="false"/>
                <w:bCs w:val="false"/>
                <w:sz w:val="19"/>
                <w:szCs w:val="19"/>
              </w:rPr>
              <w:t xml:space="preserve">121</w:t>
            </w:r>
          </w:p>
        </w:tc>
        <w:tc>
          <w:tcPr>
            <w:tcW w:type="dxa" w:w="3120"/>
            <w:tcMar>
              <w:top w:type="dxa" w:w="60"/>
              <w:left w:type="dxa" w:w="100"/>
              <w:bottom w:type="dxa" w:w="60"/>
              <w:right w:type="dxa" w:w="100"/>
            </w:tcMar>
          </w:tcPr>
          <w:p>
            <w:r>
              <w:rPr>
                <w:b w:val="false"/>
                <w:bCs w:val="false"/>
                <w:sz w:val="19"/>
                <w:szCs w:val="19"/>
              </w:rPr>
              <w:t xml:space="preserve">2.4</w:t>
            </w:r>
          </w:p>
        </w:tc>
      </w:tr>
      <w:tr>
        <w:trPr>
          <w:cantSplit/>
        </w:trPr>
        <w:tc>
          <w:tcPr>
            <w:tcW w:type="dxa" w:w="3120"/>
            <w:tcMar>
              <w:top w:type="dxa" w:w="60"/>
              <w:left w:type="dxa" w:w="100"/>
              <w:bottom w:type="dxa" w:w="60"/>
              <w:right w:type="dxa" w:w="100"/>
            </w:tcMar>
          </w:tcPr>
          <w:p>
            <w:r>
              <w:rPr>
                <w:b w:val="false"/>
                <w:bCs w:val="false"/>
                <w:sz w:val="19"/>
                <w:szCs w:val="19"/>
              </w:rPr>
              <w:t xml:space="preserve">0.6–1.0 (close analogue)</w:t>
            </w:r>
          </w:p>
        </w:tc>
        <w:tc>
          <w:tcPr>
            <w:tcW w:type="dxa" w:w="3120"/>
            <w:tcMar>
              <w:top w:type="dxa" w:w="60"/>
              <w:left w:type="dxa" w:w="100"/>
              <w:bottom w:type="dxa" w:w="60"/>
              <w:right w:type="dxa" w:w="100"/>
            </w:tcMar>
          </w:tcPr>
          <w:p>
            <w:r>
              <w:rPr>
                <w:b w:val="false"/>
                <w:bCs w:val="false"/>
                <w:sz w:val="19"/>
                <w:szCs w:val="19"/>
              </w:rPr>
              <w:t xml:space="preserve">26</w:t>
            </w:r>
          </w:p>
        </w:tc>
        <w:tc>
          <w:tcPr>
            <w:tcW w:type="dxa" w:w="3120"/>
            <w:tcMar>
              <w:top w:type="dxa" w:w="60"/>
              <w:left w:type="dxa" w:w="100"/>
              <w:bottom w:type="dxa" w:w="60"/>
              <w:right w:type="dxa" w:w="100"/>
            </w:tcMar>
          </w:tcPr>
          <w:p>
            <w:r>
              <w:rPr>
                <w:b w:val="false"/>
                <w:bCs w:val="false"/>
                <w:sz w:val="19"/>
                <w:szCs w:val="19"/>
              </w:rPr>
              <w:t xml:space="preserve">0.5</w:t>
            </w:r>
          </w:p>
        </w:tc>
      </w:tr>
    </w:tbl>
    <w:p>
      <w:pPr>
        <w:spacing w:after="140"/>
      </w:pPr>
    </w:p>
    <w:p>
      <w:pPr>
        <w:spacing w:after="140" w:line="300"/>
      </w:pPr>
      <w:r>
        <w:t xml:space="preserve">The top 20 hits all fall between Tanimoto 0.16 and 0.30, and span predicted pChEMBL 6.73 to 6.55 — a range of 0.18 units, less than half the model’s own RMSE. Ordering within the top hits is not resolvable by the model and is not interpreted.</w:t>
      </w:r>
    </w:p>
    <w:p>
      <w:pPr>
        <w:pStyle w:val="Heading2"/>
        <w:spacing w:after="120" w:before="260"/>
      </w:pPr>
      <w:r>
        <w:t xml:space="preserve">2.7 Random control</w:t>
      </w:r>
    </w:p>
    <w:p>
      <w:pPr>
        <w:spacing w:after="140" w:line="300"/>
      </w:pPr>
      <w:r>
        <w:t xml:space="preserve">One hundred top-ranked compounds were docked against 100 drawn at random from the same library (seed 42, with the top 100 excluded from the sampling pool). The two groups were docked interleaved, so that any throughput degradation over the run affected both equally. Conditions were identical throughout: receptor rec_wet.pdbqt, 16 Å box centred on (27.20, 2.84, 0.17), exhaustiveness 16, seed 42. Selection was by model score alone; no pose or outcome information entered the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shd w:fill="E8E8E8" w:val="clear"/>
            <w:tcMar>
              <w:top w:type="dxa" w:w="60"/>
              <w:left w:type="dxa" w:w="100"/>
              <w:bottom w:type="dxa" w:w="60"/>
              <w:right w:type="dxa" w:w="100"/>
            </w:tcMar>
          </w:tcPr>
          <w:p>
            <w:r>
              <w:rPr>
                <w:b/>
                <w:bCs/>
                <w:sz w:val="19"/>
                <w:szCs w:val="19"/>
              </w:rPr>
              <w:t xml:space="preserve">Group</w:t>
            </w:r>
          </w:p>
        </w:tc>
        <w:tc>
          <w:tcPr>
            <w:tcW w:type="dxa" w:w="1560"/>
            <w:shd w:fill="E8E8E8" w:val="clear"/>
            <w:tcMar>
              <w:top w:type="dxa" w:w="60"/>
              <w:left w:type="dxa" w:w="100"/>
              <w:bottom w:type="dxa" w:w="60"/>
              <w:right w:type="dxa" w:w="100"/>
            </w:tcMar>
          </w:tcPr>
          <w:p>
            <w:r>
              <w:rPr>
                <w:b/>
                <w:bCs/>
                <w:sz w:val="19"/>
                <w:szCs w:val="19"/>
              </w:rPr>
              <w:t xml:space="preserve">n</w:t>
            </w:r>
          </w:p>
        </w:tc>
        <w:tc>
          <w:tcPr>
            <w:tcW w:type="dxa" w:w="1560"/>
            <w:shd w:fill="E8E8E8" w:val="clear"/>
            <w:tcMar>
              <w:top w:type="dxa" w:w="60"/>
              <w:left w:type="dxa" w:w="100"/>
              <w:bottom w:type="dxa" w:w="60"/>
              <w:right w:type="dxa" w:w="100"/>
            </w:tcMar>
          </w:tcPr>
          <w:p>
            <w:r>
              <w:rPr>
                <w:b/>
                <w:bCs/>
                <w:sz w:val="19"/>
                <w:szCs w:val="19"/>
              </w:rPr>
              <w:t xml:space="preserve">Mean</w:t>
            </w:r>
          </w:p>
        </w:tc>
        <w:tc>
          <w:tcPr>
            <w:tcW w:type="dxa" w:w="1560"/>
            <w:shd w:fill="E8E8E8" w:val="clear"/>
            <w:tcMar>
              <w:top w:type="dxa" w:w="60"/>
              <w:left w:type="dxa" w:w="100"/>
              <w:bottom w:type="dxa" w:w="60"/>
              <w:right w:type="dxa" w:w="100"/>
            </w:tcMar>
          </w:tcPr>
          <w:p>
            <w:r>
              <w:rPr>
                <w:b/>
                <w:bCs/>
                <w:sz w:val="19"/>
                <w:szCs w:val="19"/>
              </w:rPr>
              <w:t xml:space="preserve">Median</w:t>
            </w:r>
          </w:p>
        </w:tc>
        <w:tc>
          <w:tcPr>
            <w:tcW w:type="dxa" w:w="1560"/>
            <w:shd w:fill="E8E8E8" w:val="clear"/>
            <w:tcMar>
              <w:top w:type="dxa" w:w="60"/>
              <w:left w:type="dxa" w:w="100"/>
              <w:bottom w:type="dxa" w:w="60"/>
              <w:right w:type="dxa" w:w="100"/>
            </w:tcMar>
          </w:tcPr>
          <w:p>
            <w:r>
              <w:rPr>
                <w:b/>
                <w:bCs/>
                <w:sz w:val="19"/>
                <w:szCs w:val="19"/>
              </w:rPr>
              <w:t xml:space="preserve">Best</w:t>
            </w:r>
          </w:p>
        </w:tc>
        <w:tc>
          <w:tcPr>
            <w:tcW w:type="dxa" w:w="1560"/>
            <w:shd w:fill="E8E8E8" w:val="clear"/>
            <w:tcMar>
              <w:top w:type="dxa" w:w="60"/>
              <w:left w:type="dxa" w:w="100"/>
              <w:bottom w:type="dxa" w:w="60"/>
              <w:right w:type="dxa" w:w="100"/>
            </w:tcMar>
          </w:tcPr>
          <w:p>
            <w:r>
              <w:rPr>
                <w:b/>
                <w:bCs/>
                <w:sz w:val="19"/>
                <w:szCs w:val="19"/>
              </w:rPr>
              <w:t xml:space="preserve">Below −9</w:t>
            </w:r>
          </w:p>
        </w:tc>
      </w:tr>
      <w:tr>
        <w:trPr>
          <w:cantSplit/>
        </w:trPr>
        <w:tc>
          <w:tcPr>
            <w:tcW w:type="dxa" w:w="1560"/>
            <w:tcMar>
              <w:top w:type="dxa" w:w="60"/>
              <w:left w:type="dxa" w:w="100"/>
              <w:bottom w:type="dxa" w:w="60"/>
              <w:right w:type="dxa" w:w="100"/>
            </w:tcMar>
          </w:tcPr>
          <w:p>
            <w:r>
              <w:rPr>
                <w:b w:val="false"/>
                <w:bCs w:val="false"/>
                <w:sz w:val="19"/>
                <w:szCs w:val="19"/>
              </w:rPr>
              <w:t xml:space="preserve">Top-ranked</w:t>
            </w:r>
          </w:p>
        </w:tc>
        <w:tc>
          <w:tcPr>
            <w:tcW w:type="dxa" w:w="1560"/>
            <w:tcMar>
              <w:top w:type="dxa" w:w="60"/>
              <w:left w:type="dxa" w:w="100"/>
              <w:bottom w:type="dxa" w:w="60"/>
              <w:right w:type="dxa" w:w="100"/>
            </w:tcMar>
          </w:tcPr>
          <w:p>
            <w:r>
              <w:rPr>
                <w:b w:val="false"/>
                <w:bCs w:val="false"/>
                <w:sz w:val="19"/>
                <w:szCs w:val="19"/>
              </w:rPr>
              <w:t xml:space="preserve">92</w:t>
            </w:r>
          </w:p>
        </w:tc>
        <w:tc>
          <w:tcPr>
            <w:tcW w:type="dxa" w:w="1560"/>
            <w:tcMar>
              <w:top w:type="dxa" w:w="60"/>
              <w:left w:type="dxa" w:w="100"/>
              <w:bottom w:type="dxa" w:w="60"/>
              <w:right w:type="dxa" w:w="100"/>
            </w:tcMar>
          </w:tcPr>
          <w:p>
            <w:r>
              <w:rPr>
                <w:b w:val="false"/>
                <w:bCs w:val="false"/>
                <w:sz w:val="19"/>
                <w:szCs w:val="19"/>
              </w:rPr>
              <w:t xml:space="preserve">−8.41</w:t>
            </w:r>
          </w:p>
        </w:tc>
        <w:tc>
          <w:tcPr>
            <w:tcW w:type="dxa" w:w="1560"/>
            <w:tcMar>
              <w:top w:type="dxa" w:w="60"/>
              <w:left w:type="dxa" w:w="100"/>
              <w:bottom w:type="dxa" w:w="60"/>
              <w:right w:type="dxa" w:w="100"/>
            </w:tcMar>
          </w:tcPr>
          <w:p>
            <w:r>
              <w:rPr>
                <w:b w:val="false"/>
                <w:bCs w:val="false"/>
                <w:sz w:val="19"/>
                <w:szCs w:val="19"/>
              </w:rPr>
              <w:t xml:space="preserve">−8.42</w:t>
            </w:r>
          </w:p>
        </w:tc>
        <w:tc>
          <w:tcPr>
            <w:tcW w:type="dxa" w:w="1560"/>
            <w:tcMar>
              <w:top w:type="dxa" w:w="60"/>
              <w:left w:type="dxa" w:w="100"/>
              <w:bottom w:type="dxa" w:w="60"/>
              <w:right w:type="dxa" w:w="100"/>
            </w:tcMar>
          </w:tcPr>
          <w:p>
            <w:r>
              <w:rPr>
                <w:b w:val="false"/>
                <w:bCs w:val="false"/>
                <w:sz w:val="19"/>
                <w:szCs w:val="19"/>
              </w:rPr>
              <w:t xml:space="preserve">−10.21</w:t>
            </w:r>
          </w:p>
        </w:tc>
        <w:tc>
          <w:tcPr>
            <w:tcW w:type="dxa" w:w="1560"/>
            <w:tcMar>
              <w:top w:type="dxa" w:w="60"/>
              <w:left w:type="dxa" w:w="100"/>
              <w:bottom w:type="dxa" w:w="60"/>
              <w:right w:type="dxa" w:w="100"/>
            </w:tcMar>
          </w:tcPr>
          <w:p>
            <w:r>
              <w:rPr>
                <w:b w:val="false"/>
                <w:bCs w:val="false"/>
                <w:sz w:val="19"/>
                <w:szCs w:val="19"/>
              </w:rPr>
              <w:t xml:space="preserve">20 (21.7%)</w:t>
            </w:r>
          </w:p>
        </w:tc>
      </w:tr>
      <w:tr>
        <w:trPr>
          <w:cantSplit/>
        </w:trPr>
        <w:tc>
          <w:tcPr>
            <w:tcW w:type="dxa" w:w="1560"/>
            <w:tcMar>
              <w:top w:type="dxa" w:w="60"/>
              <w:left w:type="dxa" w:w="100"/>
              <w:bottom w:type="dxa" w:w="60"/>
              <w:right w:type="dxa" w:w="100"/>
            </w:tcMar>
          </w:tcPr>
          <w:p>
            <w:r>
              <w:rPr>
                <w:b w:val="false"/>
                <w:bCs w:val="false"/>
                <w:sz w:val="19"/>
                <w:szCs w:val="19"/>
              </w:rPr>
              <w:t xml:space="preserve">Random</w:t>
            </w:r>
          </w:p>
        </w:tc>
        <w:tc>
          <w:tcPr>
            <w:tcW w:type="dxa" w:w="1560"/>
            <w:tcMar>
              <w:top w:type="dxa" w:w="60"/>
              <w:left w:type="dxa" w:w="100"/>
              <w:bottom w:type="dxa" w:w="60"/>
              <w:right w:type="dxa" w:w="100"/>
            </w:tcMar>
          </w:tcPr>
          <w:p>
            <w:r>
              <w:rPr>
                <w:b w:val="false"/>
                <w:bCs w:val="false"/>
                <w:sz w:val="19"/>
                <w:szCs w:val="19"/>
              </w:rPr>
              <w:t xml:space="preserve">100</w:t>
            </w:r>
          </w:p>
        </w:tc>
        <w:tc>
          <w:tcPr>
            <w:tcW w:type="dxa" w:w="1560"/>
            <w:tcMar>
              <w:top w:type="dxa" w:w="60"/>
              <w:left w:type="dxa" w:w="100"/>
              <w:bottom w:type="dxa" w:w="60"/>
              <w:right w:type="dxa" w:w="100"/>
            </w:tcMar>
          </w:tcPr>
          <w:p>
            <w:r>
              <w:rPr>
                <w:b w:val="false"/>
                <w:bCs w:val="false"/>
                <w:sz w:val="19"/>
                <w:szCs w:val="19"/>
              </w:rPr>
              <w:t xml:space="preserve">−8.18</w:t>
            </w:r>
          </w:p>
        </w:tc>
        <w:tc>
          <w:tcPr>
            <w:tcW w:type="dxa" w:w="1560"/>
            <w:tcMar>
              <w:top w:type="dxa" w:w="60"/>
              <w:left w:type="dxa" w:w="100"/>
              <w:bottom w:type="dxa" w:w="60"/>
              <w:right w:type="dxa" w:w="100"/>
            </w:tcMar>
          </w:tcPr>
          <w:p>
            <w:r>
              <w:rPr>
                <w:b w:val="false"/>
                <w:bCs w:val="false"/>
                <w:sz w:val="19"/>
                <w:szCs w:val="19"/>
              </w:rPr>
              <w:t xml:space="preserve">−8.17</w:t>
            </w:r>
          </w:p>
        </w:tc>
        <w:tc>
          <w:tcPr>
            <w:tcW w:type="dxa" w:w="1560"/>
            <w:tcMar>
              <w:top w:type="dxa" w:w="60"/>
              <w:left w:type="dxa" w:w="100"/>
              <w:bottom w:type="dxa" w:w="60"/>
              <w:right w:type="dxa" w:w="100"/>
            </w:tcMar>
          </w:tcPr>
          <w:p>
            <w:r>
              <w:rPr>
                <w:b w:val="false"/>
                <w:bCs w:val="false"/>
                <w:sz w:val="19"/>
                <w:szCs w:val="19"/>
              </w:rPr>
              <w:t xml:space="preserve">−10.60</w:t>
            </w:r>
          </w:p>
        </w:tc>
        <w:tc>
          <w:tcPr>
            <w:tcW w:type="dxa" w:w="1560"/>
            <w:tcMar>
              <w:top w:type="dxa" w:w="60"/>
              <w:left w:type="dxa" w:w="100"/>
              <w:bottom w:type="dxa" w:w="60"/>
              <w:right w:type="dxa" w:w="100"/>
            </w:tcMar>
          </w:tcPr>
          <w:p>
            <w:r>
              <w:rPr>
                <w:b w:val="false"/>
                <w:bCs w:val="false"/>
                <w:sz w:val="19"/>
                <w:szCs w:val="19"/>
              </w:rPr>
              <w:t xml:space="preserve">15 (15.0%)</w:t>
            </w:r>
          </w:p>
        </w:tc>
      </w:tr>
    </w:tbl>
    <w:p>
      <w:pPr>
        <w:spacing w:after="140"/>
      </w:pPr>
    </w:p>
    <w:p>
      <w:pPr>
        <w:spacing w:after="140" w:line="300"/>
      </w:pPr>
      <w:r>
        <w:t xml:space="preserve">Because compounds that fail to dock are silently excluded from summary statistics, the comparison was repeated with all eight failures imputed at both extremes of the observed affinity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shd w:fill="E8E8E8" w:val="clear"/>
            <w:tcMar>
              <w:top w:type="dxa" w:w="60"/>
              <w:left w:type="dxa" w:w="100"/>
              <w:bottom w:type="dxa" w:w="60"/>
              <w:right w:type="dxa" w:w="100"/>
            </w:tcMar>
          </w:tcPr>
          <w:p>
            <w:r>
              <w:rPr>
                <w:b/>
                <w:bCs/>
                <w:sz w:val="19"/>
                <w:szCs w:val="19"/>
              </w:rPr>
              <w:t xml:space="preserve">Scenario</w:t>
            </w:r>
          </w:p>
        </w:tc>
        <w:tc>
          <w:tcPr>
            <w:tcW w:type="dxa" w:w="1872"/>
            <w:shd w:fill="E8E8E8" w:val="clear"/>
            <w:tcMar>
              <w:top w:type="dxa" w:w="60"/>
              <w:left w:type="dxa" w:w="100"/>
              <w:bottom w:type="dxa" w:w="60"/>
              <w:right w:type="dxa" w:w="100"/>
            </w:tcMar>
          </w:tcPr>
          <w:p>
            <w:r>
              <w:rPr>
                <w:b/>
                <w:bCs/>
                <w:sz w:val="19"/>
                <w:szCs w:val="19"/>
              </w:rPr>
              <w:t xml:space="preserve">Difference</w:t>
            </w:r>
          </w:p>
        </w:tc>
        <w:tc>
          <w:tcPr>
            <w:tcW w:type="dxa" w:w="1872"/>
            <w:shd w:fill="E8E8E8" w:val="clear"/>
            <w:tcMar>
              <w:top w:type="dxa" w:w="60"/>
              <w:left w:type="dxa" w:w="100"/>
              <w:bottom w:type="dxa" w:w="60"/>
              <w:right w:type="dxa" w:w="100"/>
            </w:tcMar>
          </w:tcPr>
          <w:p>
            <w:r>
              <w:rPr>
                <w:b/>
                <w:bCs/>
                <w:sz w:val="19"/>
                <w:szCs w:val="19"/>
              </w:rPr>
              <w:t xml:space="preserve">p one-sided</w:t>
            </w:r>
          </w:p>
        </w:tc>
        <w:tc>
          <w:tcPr>
            <w:tcW w:type="dxa" w:w="1872"/>
            <w:shd w:fill="E8E8E8" w:val="clear"/>
            <w:tcMar>
              <w:top w:type="dxa" w:w="60"/>
              <w:left w:type="dxa" w:w="100"/>
              <w:bottom w:type="dxa" w:w="60"/>
              <w:right w:type="dxa" w:w="100"/>
            </w:tcMar>
          </w:tcPr>
          <w:p>
            <w:r>
              <w:rPr>
                <w:b/>
                <w:bCs/>
                <w:sz w:val="19"/>
                <w:szCs w:val="19"/>
              </w:rPr>
              <w:t xml:space="preserve">p two-sided</w:t>
            </w:r>
          </w:p>
        </w:tc>
        <w:tc>
          <w:tcPr>
            <w:tcW w:type="dxa" w:w="1872"/>
            <w:shd w:fill="E8E8E8" w:val="clear"/>
            <w:tcMar>
              <w:top w:type="dxa" w:w="60"/>
              <w:left w:type="dxa" w:w="100"/>
              <w:bottom w:type="dxa" w:w="60"/>
              <w:right w:type="dxa" w:w="100"/>
            </w:tcMar>
          </w:tcPr>
          <w:p>
            <w:r>
              <w:rPr>
                <w:b/>
                <w:bCs/>
                <w:sz w:val="19"/>
                <w:szCs w:val="19"/>
              </w:rPr>
              <w:t xml:space="preserve">Outcome</w:t>
            </w:r>
          </w:p>
        </w:tc>
      </w:tr>
      <w:tr>
        <w:trPr>
          <w:cantSplit/>
        </w:trPr>
        <w:tc>
          <w:tcPr>
            <w:tcW w:type="dxa" w:w="1872"/>
            <w:tcMar>
              <w:top w:type="dxa" w:w="60"/>
              <w:left w:type="dxa" w:w="100"/>
              <w:bottom w:type="dxa" w:w="60"/>
              <w:right w:type="dxa" w:w="100"/>
            </w:tcMar>
          </w:tcPr>
          <w:p>
            <w:r>
              <w:rPr>
                <w:b w:val="false"/>
                <w:bCs w:val="false"/>
                <w:sz w:val="19"/>
                <w:szCs w:val="19"/>
              </w:rPr>
              <w:t xml:space="preserve">As run (92 v 100)</w:t>
            </w:r>
          </w:p>
        </w:tc>
        <w:tc>
          <w:tcPr>
            <w:tcW w:type="dxa" w:w="1872"/>
            <w:tcMar>
              <w:top w:type="dxa" w:w="60"/>
              <w:left w:type="dxa" w:w="100"/>
              <w:bottom w:type="dxa" w:w="60"/>
              <w:right w:type="dxa" w:w="100"/>
            </w:tcMar>
          </w:tcPr>
          <w:p>
            <w:r>
              <w:rPr>
                <w:b w:val="false"/>
                <w:bCs w:val="false"/>
                <w:sz w:val="19"/>
                <w:szCs w:val="19"/>
              </w:rPr>
              <w:t xml:space="preserve">+0.227</w:t>
            </w:r>
          </w:p>
        </w:tc>
        <w:tc>
          <w:tcPr>
            <w:tcW w:type="dxa" w:w="1872"/>
            <w:tcMar>
              <w:top w:type="dxa" w:w="60"/>
              <w:left w:type="dxa" w:w="100"/>
              <w:bottom w:type="dxa" w:w="60"/>
              <w:right w:type="dxa" w:w="100"/>
            </w:tcMar>
          </w:tcPr>
          <w:p>
            <w:r>
              <w:rPr>
                <w:b w:val="false"/>
                <w:bCs w:val="false"/>
                <w:sz w:val="19"/>
                <w:szCs w:val="19"/>
              </w:rPr>
              <w:t xml:space="preserve">0.0154</w:t>
            </w:r>
          </w:p>
        </w:tc>
        <w:tc>
          <w:tcPr>
            <w:tcW w:type="dxa" w:w="1872"/>
            <w:tcMar>
              <w:top w:type="dxa" w:w="60"/>
              <w:left w:type="dxa" w:w="100"/>
              <w:bottom w:type="dxa" w:w="60"/>
              <w:right w:type="dxa" w:w="100"/>
            </w:tcMar>
          </w:tcPr>
          <w:p>
            <w:r>
              <w:rPr>
                <w:b w:val="false"/>
                <w:bCs w:val="false"/>
                <w:sz w:val="19"/>
                <w:szCs w:val="19"/>
              </w:rPr>
              <w:t xml:space="preserve">0.031</w:t>
            </w:r>
          </w:p>
        </w:tc>
        <w:tc>
          <w:tcPr>
            <w:tcW w:type="dxa" w:w="1872"/>
            <w:tcMar>
              <w:top w:type="dxa" w:w="60"/>
              <w:left w:type="dxa" w:w="100"/>
              <w:bottom w:type="dxa" w:w="60"/>
              <w:right w:type="dxa" w:w="100"/>
            </w:tcMar>
          </w:tcPr>
          <w:p>
            <w:r>
              <w:rPr>
                <w:b w:val="false"/>
                <w:bCs w:val="false"/>
                <w:sz w:val="19"/>
                <w:szCs w:val="19"/>
              </w:rPr>
              <w:t xml:space="preserve">holds</w:t>
            </w:r>
          </w:p>
        </w:tc>
      </w:tr>
      <w:tr>
        <w:trPr>
          <w:cantSplit/>
        </w:trPr>
        <w:tc>
          <w:tcPr>
            <w:tcW w:type="dxa" w:w="1872"/>
            <w:tcMar>
              <w:top w:type="dxa" w:w="60"/>
              <w:left w:type="dxa" w:w="100"/>
              <w:bottom w:type="dxa" w:w="60"/>
              <w:right w:type="dxa" w:w="100"/>
            </w:tcMar>
          </w:tcPr>
          <w:p>
            <w:r>
              <w:rPr>
                <w:b w:val="false"/>
                <w:bCs w:val="false"/>
                <w:sz w:val="19"/>
                <w:szCs w:val="19"/>
              </w:rPr>
              <w:t xml:space="preserve">Failures at −6.42 (worst observed)</w:t>
            </w:r>
          </w:p>
        </w:tc>
        <w:tc>
          <w:tcPr>
            <w:tcW w:type="dxa" w:w="1872"/>
            <w:tcMar>
              <w:top w:type="dxa" w:w="60"/>
              <w:left w:type="dxa" w:w="100"/>
              <w:bottom w:type="dxa" w:w="60"/>
              <w:right w:type="dxa" w:w="100"/>
            </w:tcMar>
          </w:tcPr>
          <w:p>
            <w:r>
              <w:rPr>
                <w:b w:val="false"/>
                <w:bCs w:val="false"/>
                <w:sz w:val="19"/>
                <w:szCs w:val="19"/>
              </w:rPr>
              <w:t xml:space="preserve">+0.067</w:t>
            </w:r>
          </w:p>
        </w:tc>
        <w:tc>
          <w:tcPr>
            <w:tcW w:type="dxa" w:w="1872"/>
            <w:tcMar>
              <w:top w:type="dxa" w:w="60"/>
              <w:left w:type="dxa" w:w="100"/>
              <w:bottom w:type="dxa" w:w="60"/>
              <w:right w:type="dxa" w:w="100"/>
            </w:tcMar>
          </w:tcPr>
          <w:p>
            <w:r>
              <w:rPr>
                <w:b w:val="false"/>
                <w:bCs w:val="false"/>
                <w:sz w:val="19"/>
                <w:szCs w:val="19"/>
              </w:rPr>
              <w:t xml:space="preserve">0.144</w:t>
            </w:r>
          </w:p>
        </w:tc>
        <w:tc>
          <w:tcPr>
            <w:tcW w:type="dxa" w:w="1872"/>
            <w:tcMar>
              <w:top w:type="dxa" w:w="60"/>
              <w:left w:type="dxa" w:w="100"/>
              <w:bottom w:type="dxa" w:w="60"/>
              <w:right w:type="dxa" w:w="100"/>
            </w:tcMar>
          </w:tcPr>
          <w:p>
            <w:r>
              <w:rPr>
                <w:b w:val="false"/>
                <w:bCs w:val="false"/>
                <w:sz w:val="19"/>
                <w:szCs w:val="19"/>
              </w:rPr>
              <w:t xml:space="preserve">0.284</w:t>
            </w:r>
          </w:p>
        </w:tc>
        <w:tc>
          <w:tcPr>
            <w:tcW w:type="dxa" w:w="1872"/>
            <w:tcMar>
              <w:top w:type="dxa" w:w="60"/>
              <w:left w:type="dxa" w:w="100"/>
              <w:bottom w:type="dxa" w:w="60"/>
              <w:right w:type="dxa" w:w="100"/>
            </w:tcMar>
          </w:tcPr>
          <w:p>
            <w:r>
              <w:rPr>
                <w:b w:val="false"/>
                <w:bCs w:val="false"/>
                <w:sz w:val="19"/>
                <w:szCs w:val="19"/>
              </w:rPr>
              <w:t xml:space="preserve">fails</w:t>
            </w:r>
          </w:p>
        </w:tc>
      </w:tr>
      <w:tr>
        <w:trPr>
          <w:cantSplit/>
        </w:trPr>
        <w:tc>
          <w:tcPr>
            <w:tcW w:type="dxa" w:w="1872"/>
            <w:tcMar>
              <w:top w:type="dxa" w:w="60"/>
              <w:left w:type="dxa" w:w="100"/>
              <w:bottom w:type="dxa" w:w="60"/>
              <w:right w:type="dxa" w:w="100"/>
            </w:tcMar>
          </w:tcPr>
          <w:p>
            <w:r>
              <w:rPr>
                <w:b w:val="false"/>
                <w:bCs w:val="false"/>
                <w:sz w:val="19"/>
                <w:szCs w:val="19"/>
              </w:rPr>
              <w:t xml:space="preserve">Failures at −10.21 (best observed)</w:t>
            </w:r>
          </w:p>
        </w:tc>
        <w:tc>
          <w:tcPr>
            <w:tcW w:type="dxa" w:w="1872"/>
            <w:tcMar>
              <w:top w:type="dxa" w:w="60"/>
              <w:left w:type="dxa" w:w="100"/>
              <w:bottom w:type="dxa" w:w="60"/>
              <w:right w:type="dxa" w:w="100"/>
            </w:tcMar>
          </w:tcPr>
          <w:p>
            <w:r>
              <w:rPr>
                <w:b w:val="false"/>
                <w:bCs w:val="false"/>
                <w:sz w:val="19"/>
                <w:szCs w:val="19"/>
              </w:rPr>
              <w:t xml:space="preserve">+0.370</w:t>
            </w:r>
          </w:p>
        </w:tc>
        <w:tc>
          <w:tcPr>
            <w:tcW w:type="dxa" w:w="1872"/>
            <w:tcMar>
              <w:top w:type="dxa" w:w="60"/>
              <w:left w:type="dxa" w:w="100"/>
              <w:bottom w:type="dxa" w:w="60"/>
              <w:right w:type="dxa" w:w="100"/>
            </w:tcMar>
          </w:tcPr>
          <w:p>
            <w:r>
              <w:rPr>
                <w:b w:val="false"/>
                <w:bCs w:val="false"/>
                <w:sz w:val="19"/>
                <w:szCs w:val="19"/>
              </w:rPr>
              <w:t xml:space="preserve">0.0014</w:t>
            </w:r>
          </w:p>
        </w:tc>
        <w:tc>
          <w:tcPr>
            <w:tcW w:type="dxa" w:w="1872"/>
            <w:tcMar>
              <w:top w:type="dxa" w:w="60"/>
              <w:left w:type="dxa" w:w="100"/>
              <w:bottom w:type="dxa" w:w="60"/>
              <w:right w:type="dxa" w:w="100"/>
            </w:tcMar>
          </w:tcPr>
          <w:p>
            <w:r>
              <w:rPr>
                <w:b w:val="false"/>
                <w:bCs w:val="false"/>
                <w:sz w:val="19"/>
                <w:szCs w:val="19"/>
              </w:rPr>
              <w:t xml:space="preserve">0.003</w:t>
            </w:r>
          </w:p>
        </w:tc>
        <w:tc>
          <w:tcPr>
            <w:tcW w:type="dxa" w:w="1872"/>
            <w:tcMar>
              <w:top w:type="dxa" w:w="60"/>
              <w:left w:type="dxa" w:w="100"/>
              <w:bottom w:type="dxa" w:w="60"/>
              <w:right w:type="dxa" w:w="100"/>
            </w:tcMar>
          </w:tcPr>
          <w:p>
            <w:r>
              <w:rPr>
                <w:b w:val="false"/>
                <w:bCs w:val="false"/>
                <w:sz w:val="19"/>
                <w:szCs w:val="19"/>
              </w:rPr>
              <w:t xml:space="preserve">holds</w:t>
            </w:r>
          </w:p>
        </w:tc>
      </w:tr>
    </w:tbl>
    <w:p>
      <w:pPr>
        <w:spacing w:after="140"/>
      </w:pPr>
    </w:p>
    <w:p>
      <w:pPr>
        <w:spacing w:after="140" w:line="300"/>
      </w:pPr>
      <w:r>
        <w:t xml:space="preserve">The eight failures proved to be a single molecule in eight stereoisomeric forms (MW 459.6, 33 heavy atoms, 10 rotatable bonds), occupying 8% of the model’s top 100. Against compounds that docked successfully (mean MW 367.6, 25.6 heavy atoms, 5.0 rotatable bonds) they are substantially larger and twice as flexible, which is the profile expected to fail in 3D generation or search — making the conservative imputation also the more plausible one.</w:t>
      </w:r>
    </w:p>
    <w:p>
      <w:pPr>
        <w:spacing w:after="80" w:before="22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57550"/>
                    </a:xfrm>
                    <a:prstGeom prst="rect">
                      <a:avLst/>
                    </a:prstGeom>
                  </pic:spPr>
                </pic:pic>
              </a:graphicData>
            </a:graphic>
          </wp:inline>
        </w:drawing>
      </w:r>
    </w:p>
    <w:p>
      <w:pPr>
        <w:spacing w:after="240"/>
        <w:jc w:val="center"/>
      </w:pPr>
      <w:r>
        <w:rPr>
          <w:b/>
          <w:bCs/>
          <w:sz w:val="19"/>
          <w:szCs w:val="19"/>
        </w:rPr>
        <w:t xml:space="preserve">Figure 2. </w:t>
      </w:r>
      <w:r>
        <w:rPr>
          <w:sz w:val="19"/>
          <w:szCs w:val="19"/>
        </w:rPr>
        <w:t xml:space="preserve">Random control. Best Vina affinity for 92 model-ranked compounds against 100 drawn at random from the same library, docked interleaved under identical conditions. The distributions overlap substantially and the best-scoring compound of all 192 came from the random group. The nominal separation does not survive conservative imputation of the eight top-ranked compounds that failed to dock.</w:t>
      </w:r>
    </w:p>
    <w:p>
      <w:pPr>
        <w:pStyle w:val="Heading2"/>
        <w:spacing w:after="120" w:before="260"/>
      </w:pPr>
      <w:r>
        <w:t xml:space="preserve">2.8 Structure preparation and bridging-water selection</w:t>
      </w:r>
    </w:p>
    <w:p>
      <w:pPr>
        <w:spacing w:after="140" w:line="300"/>
      </w:pPr>
      <w:r>
        <w:t xml:space="preserve">The primary receptor was 6OAK (1.70 Å, chain A, 497 ordered residues spanning 451–961, three chain breaks, none within 12 Å of the site). All catalytic residues — Asp737, Asn740, Glu755, Glu756, Tyr795 and Phe902 — are complete. The co-crystal ligand M0M comprises 43 atoms, 22 of them heavy, with centroid at (27.20, 2.84, 0.17). The structure contains 360 crystallographic waters.</w:t>
      </w:r>
    </w:p>
    <w:p>
      <w:pPr>
        <w:spacing w:after="140" w:line="300"/>
      </w:pPr>
      <w:r>
        <w:rPr>
          <w:b/>
          <w:bCs/>
        </w:rPr>
        <w:t xml:space="preserve">Water-selection rule, fixed before any docking was run: </w:t>
      </w:r>
      <w:r>
        <w:t xml:space="preserve">retain waters lying within 3.5 Å of both a ligand heavy atom and a protein nitrogen or oxygen. Five waters qualify in 6OAK — HOH 1211, 1232, 1307, 1317 and 1402 — two of which hydrogen-bond to Gln754, with one contact at 2.22 Å. Two receptors were built: dry, containing no waters, and wet, containing these five.</w:t>
      </w:r>
    </w:p>
    <w:p>
      <w:pPr>
        <w:spacing w:after="140" w:line="300"/>
      </w:pPr>
      <w:r>
        <w:t xml:space="preserve">The rule was applied unmodified to a second structure, 7KG1, where it returned a different count of four waters. No water was selected in order to produce a result.</w:t>
      </w:r>
    </w:p>
    <w:p>
      <w:pPr>
        <w:pStyle w:val="Heading2"/>
        <w:spacing w:after="120" w:before="260"/>
      </w:pPr>
      <w:r>
        <w:t xml:space="preserve">2.9 Docking protocol</w:t>
      </w:r>
    </w:p>
    <w:p>
      <w:pPr>
        <w:spacing w:after="140" w:line="300"/>
      </w:pPr>
      <w:r>
        <w:t xml:space="preserve">AutoDock Vina 1.2.5 was used throughout, with exhaustiveness 16, num_modes 9 and seed 42. Ligands and receptors were converted to PDBQT with Open Babel 3.2.1, retaining polar hydrogens only.</w:t>
      </w:r>
    </w:p>
    <w:p>
      <w:pPr>
        <w:spacing w:after="140" w:line="300"/>
      </w:pPr>
      <w:r>
        <w:t xml:space="preserve">Cross-docking used a 24 Å box centred on the M0M centroid. This box was subsequently found to span the full poly(ADP-ribose) substrate groove and to permit escape to a secondary site approximately 6 Å below the pocket at (29.44, −0.38, −5.78). That site is not an artefact: it is lined by Gln754, Tyr795, Phe738, Cys872, Gly871, Gly873, Ala874 and Phe875, and forms part of the genuine substrate groove, which extends well beyond where a 22-atom inhibitor sits. All library screening and the random control therefore used a 16 Å box.</w:t>
      </w:r>
    </w:p>
    <w:p>
      <w:pPr>
        <w:pStyle w:val="Heading2"/>
        <w:spacing w:after="120" w:before="260"/>
      </w:pPr>
      <w:r>
        <w:t xml:space="preserve">2.10 Pose-accuracy metric</w:t>
      </w:r>
    </w:p>
    <w:p>
      <w:pPr>
        <w:spacing w:after="140" w:line="300"/>
      </w:pPr>
      <w:r>
        <w:t xml:space="preserve">Open Babel reorders ligand atoms when constructing the PDBQT torsion tree, so sequential-order RMSD compares non-corresponding atoms. The magnitude of this artefact was measured directly: a dry-receptor redock reported 5.73 Å by sequential comparison versus 3.75 Å by optimal assignment.</w:t>
      </w:r>
    </w:p>
    <w:p>
      <w:pPr>
        <w:spacing w:after="140" w:line="300"/>
      </w:pPr>
      <w:r>
        <w:t xml:space="preserve">Two metrics appear in this work and must be distinguished.</w:t>
      </w:r>
    </w:p>
    <w:p>
      <w:pPr>
        <w:spacing w:after="140" w:line="300"/>
      </w:pPr>
      <w:r>
        <w:rPr>
          <w:b/>
          <w:bCs/>
        </w:rPr>
        <w:t xml:space="preserve">Optimal assignment </w:t>
      </w:r>
      <w:r>
        <w:t xml:space="preserve">(scipy.optimize.linear_sum_assignment over squared interatomic distances, with cross-element pairs forbidden) ignores connectivity and is a strict lower bound on true symmetry-corrected RMSD.</w:t>
      </w:r>
    </w:p>
    <w:p>
      <w:pPr>
        <w:spacing w:after="140" w:line="300"/>
      </w:pPr>
      <w:r>
        <w:rPr>
          <w:b/>
          <w:bCs/>
        </w:rPr>
        <w:t xml:space="preserve">True symmetry-corrected RMSD</w:t>
      </w:r>
      <w:r>
        <w:t xml:space="preserve">, used for all cross-docking results reported here, matches the PDB Chemical Component Dictionary ideal structure onto both reference and pose as a generic graph with bond orders disregarded, takes the minimum over all substructure matches, and applies no superposition — poses are compared in the crystal frame. Hydrogens are removed explicitly.</w:t>
      </w:r>
    </w:p>
    <w:p>
      <w:pPr>
        <w:spacing w:after="140" w:line="300"/>
      </w:pPr>
      <w:r>
        <w:t xml:space="preserve">The two metrics were compared directly across all 34 cross-docking pairs. For poses correct under the 2 Å criterion the bound is tight (mean shift +0.010 Å, maximum 0.06 Å); for incorrect poses it is loose (mean +0.930 Å, maximum 3.42 Å; Mann–Whitney p = 0.0002). Every shift is non-negative, confirming the bound.</w:t>
      </w:r>
    </w:p>
    <w:p>
      <w:pPr>
        <w:spacing w:after="140" w:line="300"/>
      </w:pPr>
      <w:r>
        <w:rPr>
          <w:b/>
          <w:bCs/>
        </w:rPr>
        <w:t xml:space="preserve">The lower-bound metric therefore flattered failures specifically. </w:t>
      </w:r>
      <w:r>
        <w:t xml:space="preserve">Any quantity still reported under it is conservative in a known direction: correct poses are unaffected, incorrect poses are understated.</w:t>
      </w:r>
    </w:p>
    <w:p>
      <w:pPr>
        <w:pStyle w:val="Heading2"/>
        <w:spacing w:after="120" w:before="260"/>
      </w:pPr>
      <w:r>
        <w:t xml:space="preserve">2.11 Redocking validation</w:t>
      </w:r>
    </w:p>
    <w:p>
      <w:pPr>
        <w:spacing w:after="140" w:line="300"/>
      </w:pPr>
      <w:r>
        <w:t xml:space="preserve">Native M0M was redocked into 6OAK in both receptors. The values below remain on the optimal-assignment metric and are pending recomputation; the direction of any correction is known and strengthens the finding, since the wet value is a correct pose whose bound is tight while the dry value can only increase.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E8E8E8" w:val="clear"/>
            <w:tcMar>
              <w:top w:type="dxa" w:w="60"/>
              <w:left w:type="dxa" w:w="100"/>
              <w:bottom w:type="dxa" w:w="60"/>
              <w:right w:type="dxa" w:w="100"/>
            </w:tcMar>
          </w:tcPr>
          <w:p>
            <w:r>
              <w:rPr>
                <w:b/>
                <w:bCs/>
                <w:sz w:val="19"/>
                <w:szCs w:val="19"/>
              </w:rPr>
              <w:t xml:space="preserve">Receptor</w:t>
            </w:r>
          </w:p>
        </w:tc>
        <w:tc>
          <w:tcPr>
            <w:tcW w:type="dxa" w:w="2340"/>
            <w:shd w:fill="E8E8E8" w:val="clear"/>
            <w:tcMar>
              <w:top w:type="dxa" w:w="60"/>
              <w:left w:type="dxa" w:w="100"/>
              <w:bottom w:type="dxa" w:w="60"/>
              <w:right w:type="dxa" w:w="100"/>
            </w:tcMar>
          </w:tcPr>
          <w:p>
            <w:r>
              <w:rPr>
                <w:b/>
                <w:bCs/>
                <w:sz w:val="19"/>
                <w:szCs w:val="19"/>
              </w:rPr>
              <w:t xml:space="preserve">Best affinity</w:t>
            </w:r>
          </w:p>
        </w:tc>
        <w:tc>
          <w:tcPr>
            <w:tcW w:type="dxa" w:w="2340"/>
            <w:shd w:fill="E8E8E8" w:val="clear"/>
            <w:tcMar>
              <w:top w:type="dxa" w:w="60"/>
              <w:left w:type="dxa" w:w="100"/>
              <w:bottom w:type="dxa" w:w="60"/>
              <w:right w:type="dxa" w:w="100"/>
            </w:tcMar>
          </w:tcPr>
          <w:p>
            <w:r>
              <w:rPr>
                <w:b/>
                <w:bCs/>
                <w:sz w:val="19"/>
                <w:szCs w:val="19"/>
              </w:rPr>
              <w:t xml:space="preserve">Top-1 RMSD</w:t>
            </w:r>
          </w:p>
        </w:tc>
        <w:tc>
          <w:tcPr>
            <w:tcW w:type="dxa" w:w="2340"/>
            <w:shd w:fill="E8E8E8" w:val="clear"/>
            <w:tcMar>
              <w:top w:type="dxa" w:w="60"/>
              <w:left w:type="dxa" w:w="100"/>
              <w:bottom w:type="dxa" w:w="60"/>
              <w:right w:type="dxa" w:w="100"/>
            </w:tcMar>
          </w:tcPr>
          <w:p>
            <w:r>
              <w:rPr>
                <w:b/>
                <w:bCs/>
                <w:sz w:val="19"/>
                <w:szCs w:val="19"/>
              </w:rPr>
              <w:t xml:space="preserve">Rank of near-native pose</w:t>
            </w:r>
          </w:p>
        </w:tc>
      </w:tr>
      <w:tr>
        <w:trPr>
          <w:cantSplit/>
        </w:trPr>
        <w:tc>
          <w:tcPr>
            <w:tcW w:type="dxa" w:w="2340"/>
            <w:tcMar>
              <w:top w:type="dxa" w:w="60"/>
              <w:left w:type="dxa" w:w="100"/>
              <w:bottom w:type="dxa" w:w="60"/>
              <w:right w:type="dxa" w:w="100"/>
            </w:tcMar>
          </w:tcPr>
          <w:p>
            <w:r>
              <w:rPr>
                <w:b w:val="false"/>
                <w:bCs w:val="false"/>
                <w:sz w:val="19"/>
                <w:szCs w:val="19"/>
              </w:rPr>
              <w:t xml:space="preserve">Dry</w:t>
            </w:r>
          </w:p>
        </w:tc>
        <w:tc>
          <w:tcPr>
            <w:tcW w:type="dxa" w:w="2340"/>
            <w:tcMar>
              <w:top w:type="dxa" w:w="60"/>
              <w:left w:type="dxa" w:w="100"/>
              <w:bottom w:type="dxa" w:w="60"/>
              <w:right w:type="dxa" w:w="100"/>
            </w:tcMar>
          </w:tcPr>
          <w:p>
            <w:r>
              <w:rPr>
                <w:b w:val="false"/>
                <w:bCs w:val="false"/>
                <w:sz w:val="19"/>
                <w:szCs w:val="19"/>
              </w:rPr>
              <w:t xml:space="preserve">−7.79 kcal/mol</w:t>
            </w:r>
          </w:p>
        </w:tc>
        <w:tc>
          <w:tcPr>
            <w:tcW w:type="dxa" w:w="2340"/>
            <w:tcMar>
              <w:top w:type="dxa" w:w="60"/>
              <w:left w:type="dxa" w:w="100"/>
              <w:bottom w:type="dxa" w:w="60"/>
              <w:right w:type="dxa" w:w="100"/>
            </w:tcMar>
          </w:tcPr>
          <w:p>
            <w:r>
              <w:rPr>
                <w:b w:val="false"/>
                <w:bCs w:val="false"/>
                <w:sz w:val="19"/>
                <w:szCs w:val="19"/>
              </w:rPr>
              <w:t xml:space="preserve">3.75 Å</w:t>
            </w:r>
          </w:p>
        </w:tc>
        <w:tc>
          <w:tcPr>
            <w:tcW w:type="dxa" w:w="2340"/>
            <w:tcMar>
              <w:top w:type="dxa" w:w="60"/>
              <w:left w:type="dxa" w:w="100"/>
              <w:bottom w:type="dxa" w:w="60"/>
              <w:right w:type="dxa" w:w="100"/>
            </w:tcMar>
          </w:tcPr>
          <w:p>
            <w:r>
              <w:rPr>
                <w:b w:val="false"/>
                <w:bCs w:val="false"/>
                <w:sz w:val="19"/>
                <w:szCs w:val="19"/>
              </w:rPr>
              <w:t xml:space="preserve">8 of 9 (1.15 Å)</w:t>
            </w:r>
          </w:p>
        </w:tc>
      </w:tr>
      <w:tr>
        <w:trPr>
          <w:cantSplit/>
        </w:trPr>
        <w:tc>
          <w:tcPr>
            <w:tcW w:type="dxa" w:w="2340"/>
            <w:tcMar>
              <w:top w:type="dxa" w:w="60"/>
              <w:left w:type="dxa" w:w="100"/>
              <w:bottom w:type="dxa" w:w="60"/>
              <w:right w:type="dxa" w:w="100"/>
            </w:tcMar>
          </w:tcPr>
          <w:p>
            <w:r>
              <w:rPr>
                <w:b w:val="false"/>
                <w:bCs w:val="false"/>
                <w:sz w:val="19"/>
                <w:szCs w:val="19"/>
              </w:rPr>
              <w:t xml:space="preserve">Wet (5 waters)</w:t>
            </w:r>
          </w:p>
        </w:tc>
        <w:tc>
          <w:tcPr>
            <w:tcW w:type="dxa" w:w="2340"/>
            <w:tcMar>
              <w:top w:type="dxa" w:w="60"/>
              <w:left w:type="dxa" w:w="100"/>
              <w:bottom w:type="dxa" w:w="60"/>
              <w:right w:type="dxa" w:w="100"/>
            </w:tcMar>
          </w:tcPr>
          <w:p>
            <w:r>
              <w:rPr>
                <w:b w:val="false"/>
                <w:bCs w:val="false"/>
                <w:sz w:val="19"/>
                <w:szCs w:val="19"/>
              </w:rPr>
              <w:t xml:space="preserve">−7.15 kcal/mol</w:t>
            </w:r>
          </w:p>
        </w:tc>
        <w:tc>
          <w:tcPr>
            <w:tcW w:type="dxa" w:w="2340"/>
            <w:tcMar>
              <w:top w:type="dxa" w:w="60"/>
              <w:left w:type="dxa" w:w="100"/>
              <w:bottom w:type="dxa" w:w="60"/>
              <w:right w:type="dxa" w:w="100"/>
            </w:tcMar>
          </w:tcPr>
          <w:p>
            <w:r>
              <w:rPr>
                <w:b w:val="false"/>
                <w:bCs w:val="false"/>
                <w:sz w:val="19"/>
                <w:szCs w:val="19"/>
              </w:rPr>
              <w:t xml:space="preserve">0.99 Å</w:t>
            </w:r>
          </w:p>
        </w:tc>
        <w:tc>
          <w:tcPr>
            <w:tcW w:type="dxa" w:w="2340"/>
            <w:tcMar>
              <w:top w:type="dxa" w:w="60"/>
              <w:left w:type="dxa" w:w="100"/>
              <w:bottom w:type="dxa" w:w="60"/>
              <w:right w:type="dxa" w:w="100"/>
            </w:tcMar>
          </w:tcPr>
          <w:p>
            <w:r>
              <w:rPr>
                <w:b w:val="false"/>
                <w:bCs w:val="false"/>
                <w:sz w:val="19"/>
                <w:szCs w:val="19"/>
              </w:rPr>
              <w:t xml:space="preserve">1</w:t>
            </w:r>
          </w:p>
        </w:tc>
      </w:tr>
    </w:tbl>
    <w:p>
      <w:pPr>
        <w:spacing w:after="140"/>
      </w:pPr>
    </w:p>
    <w:p>
      <w:pPr>
        <w:spacing w:after="140" w:line="300"/>
      </w:pPr>
      <w:r>
        <w:t xml:space="preserve">The receptor giving the better score gave the worse pose. Binding score is not a proxy for geometric correctness, and virtual screening output cannot be ranked on raw score without independent pose validation.</w:t>
      </w:r>
    </w:p>
    <w:p>
      <w:pPr>
        <w:pStyle w:val="Heading2"/>
        <w:spacing w:after="120" w:before="260"/>
      </w:pPr>
      <w:r>
        <w:t xml:space="preserve">2.12 Cross-docking set construction</w:t>
      </w:r>
    </w:p>
    <w:p>
      <w:pPr>
        <w:spacing w:after="140" w:line="300"/>
      </w:pPr>
      <w:r>
        <w:t xml:space="preserve">All 25 human PARG structures were enumerated from UniProt Q86W56 (chain A, residues 448–976); 24 were downloaded, 6OAK serving as the reference. Modified residues (MSE, CSO, CSS, CME, 6WK) and buffer components were excluded; heteroatom groups were retained only at 15–50 heavy atoms; phosphorus-containing ligands were classified as substrate-like ADP-ribose analogues and excluded from the inhibitor analysis.</w:t>
      </w:r>
    </w:p>
    <w:p>
      <w:pPr>
        <w:spacing w:after="140" w:line="300"/>
      </w:pPr>
      <w:r>
        <w:t xml:space="preserve">Superposition used Kabsch alignment on matched Cα atoms, with 490–497 atoms matched and Cα RMSD 0.13–0.37 Å, confirming that all structures occupy essentially one backbone conformation.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E8E8E8" w:val="clear"/>
            <w:tcMar>
              <w:top w:type="dxa" w:w="60"/>
              <w:left w:type="dxa" w:w="100"/>
              <w:bottom w:type="dxa" w:w="60"/>
              <w:right w:type="dxa" w:w="100"/>
            </w:tcMar>
          </w:tcPr>
          <w:p>
            <w:r>
              <w:rPr>
                <w:b/>
                <w:bCs/>
                <w:sz w:val="19"/>
                <w:szCs w:val="19"/>
              </w:rPr>
              <w:t xml:space="preserve">Series</w:t>
            </w:r>
          </w:p>
        </w:tc>
        <w:tc>
          <w:tcPr>
            <w:tcW w:type="dxa" w:w="4680"/>
            <w:shd w:fill="E8E8E8" w:val="clear"/>
            <w:tcMar>
              <w:top w:type="dxa" w:w="60"/>
              <w:left w:type="dxa" w:w="100"/>
              <w:bottom w:type="dxa" w:w="60"/>
              <w:right w:type="dxa" w:w="100"/>
            </w:tcMar>
          </w:tcPr>
          <w:p>
            <w:r>
              <w:rPr>
                <w:b/>
                <w:bCs/>
                <w:sz w:val="19"/>
                <w:szCs w:val="19"/>
              </w:rPr>
              <w:t xml:space="preserve">Ligands</w:t>
            </w:r>
          </w:p>
        </w:tc>
      </w:tr>
      <w:tr>
        <w:trPr>
          <w:cantSplit/>
        </w:trPr>
        <w:tc>
          <w:tcPr>
            <w:tcW w:type="dxa" w:w="4680"/>
            <w:tcMar>
              <w:top w:type="dxa" w:w="60"/>
              <w:left w:type="dxa" w:w="100"/>
              <w:bottom w:type="dxa" w:w="60"/>
              <w:right w:type="dxa" w:w="100"/>
            </w:tcMar>
          </w:tcPr>
          <w:p>
            <w:r>
              <w:rPr>
                <w:b w:val="false"/>
                <w:bCs w:val="false"/>
                <w:sz w:val="19"/>
                <w:szCs w:val="19"/>
              </w:rPr>
              <w:t xml:space="preserve">5LHB / 6HMx</w:t>
            </w:r>
          </w:p>
        </w:tc>
        <w:tc>
          <w:tcPr>
            <w:tcW w:type="dxa" w:w="4680"/>
            <w:tcMar>
              <w:top w:type="dxa" w:w="60"/>
              <w:left w:type="dxa" w:w="100"/>
              <w:bottom w:type="dxa" w:w="60"/>
              <w:right w:type="dxa" w:w="100"/>
            </w:tcMar>
          </w:tcPr>
          <w:p>
            <w:r>
              <w:rPr>
                <w:b w:val="false"/>
                <w:bCs w:val="false"/>
                <w:sz w:val="19"/>
                <w:szCs w:val="19"/>
              </w:rPr>
              <w:t xml:space="preserve">6WJ, 7JC, 73L, 7JB, 70J</w:t>
            </w:r>
          </w:p>
        </w:tc>
      </w:tr>
      <w:tr>
        <w:trPr>
          <w:cantSplit/>
        </w:trPr>
        <w:tc>
          <w:tcPr>
            <w:tcW w:type="dxa" w:w="4680"/>
            <w:tcMar>
              <w:top w:type="dxa" w:w="60"/>
              <w:left w:type="dxa" w:w="100"/>
              <w:bottom w:type="dxa" w:w="60"/>
              <w:right w:type="dxa" w:w="100"/>
            </w:tcMar>
          </w:tcPr>
          <w:p>
            <w:r>
              <w:rPr>
                <w:b w:val="false"/>
                <w:bCs w:val="false"/>
                <w:sz w:val="19"/>
                <w:szCs w:val="19"/>
              </w:rPr>
              <w:t xml:space="preserve">6O9x / 6OAx</w:t>
            </w:r>
          </w:p>
        </w:tc>
        <w:tc>
          <w:tcPr>
            <w:tcW w:type="dxa" w:w="4680"/>
            <w:tcMar>
              <w:top w:type="dxa" w:w="60"/>
              <w:left w:type="dxa" w:w="100"/>
              <w:bottom w:type="dxa" w:w="60"/>
              <w:right w:type="dxa" w:w="100"/>
            </w:tcMar>
          </w:tcPr>
          <w:p>
            <w:r>
              <w:rPr>
                <w:b w:val="false"/>
                <w:bCs w:val="false"/>
                <w:sz w:val="19"/>
                <w:szCs w:val="19"/>
              </w:rPr>
              <w:t xml:space="preserve">M0S, M0V, M1D, M0P (×2), M0M</w:t>
            </w:r>
          </w:p>
        </w:tc>
      </w:tr>
      <w:tr>
        <w:trPr>
          <w:cantSplit/>
        </w:trPr>
        <w:tc>
          <w:tcPr>
            <w:tcW w:type="dxa" w:w="4680"/>
            <w:tcMar>
              <w:top w:type="dxa" w:w="60"/>
              <w:left w:type="dxa" w:w="100"/>
              <w:bottom w:type="dxa" w:w="60"/>
              <w:right w:type="dxa" w:w="100"/>
            </w:tcMar>
          </w:tcPr>
          <w:p>
            <w:r>
              <w:rPr>
                <w:b w:val="false"/>
                <w:bCs w:val="false"/>
                <w:sz w:val="19"/>
                <w:szCs w:val="19"/>
              </w:rPr>
              <w:t xml:space="preserve">7KGx</w:t>
            </w:r>
          </w:p>
        </w:tc>
        <w:tc>
          <w:tcPr>
            <w:tcW w:type="dxa" w:w="4680"/>
            <w:tcMar>
              <w:top w:type="dxa" w:w="60"/>
              <w:left w:type="dxa" w:w="100"/>
              <w:bottom w:type="dxa" w:w="60"/>
              <w:right w:type="dxa" w:w="100"/>
            </w:tcMar>
          </w:tcPr>
          <w:p>
            <w:r>
              <w:rPr>
                <w:b w:val="false"/>
                <w:bCs w:val="false"/>
                <w:sz w:val="19"/>
                <w:szCs w:val="19"/>
              </w:rPr>
              <w:t xml:space="preserve">WD7, WDA, WDD, WDG, WDJ, WDM</w:t>
            </w:r>
          </w:p>
        </w:tc>
      </w:tr>
    </w:tbl>
    <w:p>
      <w:pPr>
        <w:spacing w:after="140"/>
      </w:pPr>
    </w:p>
    <w:p>
      <w:pPr>
        <w:spacing w:after="140" w:line="300"/>
      </w:pPr>
      <w:r>
        <w:t xml:space="preserve">The resulting set is 17 drug-like inhibitors spanning three independent medicinal-chemistry campaigns, each with 3–7 rotatable bonds and atom counts preserved through PDBQT conversion. Four substrate-like ligands (AR6, A8P, A1R, A3R) and one surface-bound AR6 in 5A7R, 13.71 Å from the site, were excluded.</w:t>
      </w:r>
    </w:p>
    <w:p>
      <w:pPr>
        <w:pStyle w:val="Heading2"/>
        <w:spacing w:after="120" w:before="260"/>
      </w:pPr>
      <w:r>
        <w:t xml:space="preserve">2.13 Cross-docking analysis</w:t>
      </w:r>
    </w:p>
    <w:p>
      <w:pPr>
        <w:spacing w:after="140" w:line="300"/>
      </w:pPr>
      <w:r>
        <w:t xml:space="preserve">Each of the 17 ligands was docked into both receptors, giving 34 pairs and nine modes each, for 306 poses in total. True symmetry-corrected RMSD was computed for every pose rather than only the top-ranked one, which permits sampling and ranking to be separated: whether a near-native pose was generated at all, and whether Vina ranked it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E8E8E8" w:val="clear"/>
            <w:tcMar>
              <w:top w:type="dxa" w:w="60"/>
              <w:left w:type="dxa" w:w="100"/>
              <w:bottom w:type="dxa" w:w="60"/>
              <w:right w:type="dxa" w:w="100"/>
            </w:tcMar>
          </w:tcPr>
          <w:p>
            <w:r>
              <w:rPr>
                <w:b/>
                <w:bCs/>
                <w:sz w:val="19"/>
                <w:szCs w:val="19"/>
              </w:rPr>
              <w:t xml:space="preserve">Receptor</w:t>
            </w:r>
          </w:p>
        </w:tc>
        <w:tc>
          <w:tcPr>
            <w:tcW w:type="dxa" w:w="2340"/>
            <w:shd w:fill="E8E8E8" w:val="clear"/>
            <w:tcMar>
              <w:top w:type="dxa" w:w="60"/>
              <w:left w:type="dxa" w:w="100"/>
              <w:bottom w:type="dxa" w:w="60"/>
              <w:right w:type="dxa" w:w="100"/>
            </w:tcMar>
          </w:tcPr>
          <w:p>
            <w:r>
              <w:rPr>
                <w:b/>
                <w:bCs/>
                <w:sz w:val="19"/>
                <w:szCs w:val="19"/>
              </w:rPr>
              <w:t xml:space="preserve">Top-1 &lt; 2 Å</w:t>
            </w:r>
          </w:p>
        </w:tc>
        <w:tc>
          <w:tcPr>
            <w:tcW w:type="dxa" w:w="2340"/>
            <w:shd w:fill="E8E8E8" w:val="clear"/>
            <w:tcMar>
              <w:top w:type="dxa" w:w="60"/>
              <w:left w:type="dxa" w:w="100"/>
              <w:bottom w:type="dxa" w:w="60"/>
              <w:right w:type="dxa" w:w="100"/>
            </w:tcMar>
          </w:tcPr>
          <w:p>
            <w:r>
              <w:rPr>
                <w:b/>
                <w:bCs/>
                <w:sz w:val="19"/>
                <w:szCs w:val="19"/>
              </w:rPr>
              <w:t xml:space="preserve">Near-native sampled</w:t>
            </w:r>
          </w:p>
        </w:tc>
        <w:tc>
          <w:tcPr>
            <w:tcW w:type="dxa" w:w="2340"/>
            <w:shd w:fill="E8E8E8" w:val="clear"/>
            <w:tcMar>
              <w:top w:type="dxa" w:w="60"/>
              <w:left w:type="dxa" w:w="100"/>
              <w:bottom w:type="dxa" w:w="60"/>
              <w:right w:type="dxa" w:w="100"/>
            </w:tcMar>
          </w:tcPr>
          <w:p>
            <w:r>
              <w:rPr>
                <w:b/>
                <w:bCs/>
                <w:sz w:val="19"/>
                <w:szCs w:val="19"/>
              </w:rPr>
              <w:t xml:space="preserve">Ranked first</w:t>
            </w:r>
          </w:p>
        </w:tc>
      </w:tr>
      <w:tr>
        <w:trPr>
          <w:cantSplit/>
        </w:trPr>
        <w:tc>
          <w:tcPr>
            <w:tcW w:type="dxa" w:w="2340"/>
            <w:tcMar>
              <w:top w:type="dxa" w:w="60"/>
              <w:left w:type="dxa" w:w="100"/>
              <w:bottom w:type="dxa" w:w="60"/>
              <w:right w:type="dxa" w:w="100"/>
            </w:tcMar>
          </w:tcPr>
          <w:p>
            <w:r>
              <w:rPr>
                <w:b w:val="false"/>
                <w:bCs w:val="false"/>
                <w:sz w:val="19"/>
                <w:szCs w:val="19"/>
              </w:rPr>
              <w:t xml:space="preserve">Dry</w:t>
            </w:r>
          </w:p>
        </w:tc>
        <w:tc>
          <w:tcPr>
            <w:tcW w:type="dxa" w:w="2340"/>
            <w:tcMar>
              <w:top w:type="dxa" w:w="60"/>
              <w:left w:type="dxa" w:w="100"/>
              <w:bottom w:type="dxa" w:w="60"/>
              <w:right w:type="dxa" w:w="100"/>
            </w:tcMar>
          </w:tcPr>
          <w:p>
            <w:r>
              <w:rPr>
                <w:b w:val="false"/>
                <w:bCs w:val="false"/>
                <w:sz w:val="19"/>
                <w:szCs w:val="19"/>
              </w:rPr>
              <w:t xml:space="preserve">0 / 17</w:t>
            </w:r>
          </w:p>
        </w:tc>
        <w:tc>
          <w:tcPr>
            <w:tcW w:type="dxa" w:w="2340"/>
            <w:tcMar>
              <w:top w:type="dxa" w:w="60"/>
              <w:left w:type="dxa" w:w="100"/>
              <w:bottom w:type="dxa" w:w="60"/>
              <w:right w:type="dxa" w:w="100"/>
            </w:tcMar>
          </w:tcPr>
          <w:p>
            <w:r>
              <w:rPr>
                <w:b w:val="false"/>
                <w:bCs w:val="false"/>
                <w:sz w:val="19"/>
                <w:szCs w:val="19"/>
              </w:rPr>
              <w:t xml:space="preserve">6 / 17</w:t>
            </w:r>
          </w:p>
        </w:tc>
        <w:tc>
          <w:tcPr>
            <w:tcW w:type="dxa" w:w="2340"/>
            <w:tcMar>
              <w:top w:type="dxa" w:w="60"/>
              <w:left w:type="dxa" w:w="100"/>
              <w:bottom w:type="dxa" w:w="60"/>
              <w:right w:type="dxa" w:w="100"/>
            </w:tcMar>
          </w:tcPr>
          <w:p>
            <w:r>
              <w:rPr>
                <w:b w:val="false"/>
                <w:bCs w:val="false"/>
                <w:sz w:val="19"/>
                <w:szCs w:val="19"/>
              </w:rPr>
              <w:t xml:space="preserve">0 / 6</w:t>
            </w:r>
          </w:p>
        </w:tc>
      </w:tr>
      <w:tr>
        <w:trPr>
          <w:cantSplit/>
        </w:trPr>
        <w:tc>
          <w:tcPr>
            <w:tcW w:type="dxa" w:w="2340"/>
            <w:tcMar>
              <w:top w:type="dxa" w:w="60"/>
              <w:left w:type="dxa" w:w="100"/>
              <w:bottom w:type="dxa" w:w="60"/>
              <w:right w:type="dxa" w:w="100"/>
            </w:tcMar>
          </w:tcPr>
          <w:p>
            <w:r>
              <w:rPr>
                <w:b w:val="false"/>
                <w:bCs w:val="false"/>
                <w:sz w:val="19"/>
                <w:szCs w:val="19"/>
              </w:rPr>
              <w:t xml:space="preserve">Wet</w:t>
            </w:r>
          </w:p>
        </w:tc>
        <w:tc>
          <w:tcPr>
            <w:tcW w:type="dxa" w:w="2340"/>
            <w:tcMar>
              <w:top w:type="dxa" w:w="60"/>
              <w:left w:type="dxa" w:w="100"/>
              <w:bottom w:type="dxa" w:w="60"/>
              <w:right w:type="dxa" w:w="100"/>
            </w:tcMar>
          </w:tcPr>
          <w:p>
            <w:r>
              <w:rPr>
                <w:b w:val="false"/>
                <w:bCs w:val="false"/>
                <w:sz w:val="19"/>
                <w:szCs w:val="19"/>
              </w:rPr>
              <w:t xml:space="preserve">6 / 17</w:t>
            </w:r>
          </w:p>
        </w:tc>
        <w:tc>
          <w:tcPr>
            <w:tcW w:type="dxa" w:w="2340"/>
            <w:tcMar>
              <w:top w:type="dxa" w:w="60"/>
              <w:left w:type="dxa" w:w="100"/>
              <w:bottom w:type="dxa" w:w="60"/>
              <w:right w:type="dxa" w:w="100"/>
            </w:tcMar>
          </w:tcPr>
          <w:p>
            <w:r>
              <w:rPr>
                <w:b w:val="false"/>
                <w:bCs w:val="false"/>
                <w:sz w:val="19"/>
                <w:szCs w:val="19"/>
              </w:rPr>
              <w:t xml:space="preserve">7 / 17</w:t>
            </w:r>
          </w:p>
        </w:tc>
        <w:tc>
          <w:tcPr>
            <w:tcW w:type="dxa" w:w="2340"/>
            <w:tcMar>
              <w:top w:type="dxa" w:w="60"/>
              <w:left w:type="dxa" w:w="100"/>
              <w:bottom w:type="dxa" w:w="60"/>
              <w:right w:type="dxa" w:w="100"/>
            </w:tcMar>
          </w:tcPr>
          <w:p>
            <w:r>
              <w:rPr>
                <w:b w:val="false"/>
                <w:bCs w:val="false"/>
                <w:sz w:val="19"/>
                <w:szCs w:val="19"/>
              </w:rPr>
              <w:t xml:space="preserve">6 / 7</w:t>
            </w:r>
          </w:p>
        </w:tc>
      </w:tr>
    </w:tbl>
    <w:p>
      <w:pPr>
        <w:spacing w:after="140"/>
      </w:pPr>
    </w:p>
    <w:p>
      <w:pPr>
        <w:spacing w:after="140" w:line="300"/>
      </w:pPr>
      <w:r>
        <w:t xml:space="preserve">Top-1 success: McNemar exact p = 0.031; Wilcoxon signed-rank on paired RMSD p = 0.035. For sampling, the dry set is a strict subset of the wet set — only 7KG7_WDJ is sampled in the wet receptor and missed in the dry one — giving McNemar p = 1.0, that is, no detectable difference in sampling.</w:t>
      </w:r>
    </w:p>
    <w:p>
      <w:pPr>
        <w:spacing w:after="140" w:line="300"/>
      </w:pPr>
      <w:r>
        <w:t xml:space="preserve">For ranking, restricted to the six ligands sampled in both receptors so that denominators match, the mean rank of the near-native pose improves from 4.83 in the dry receptor to 1.17 in the wet, better in six cases out of six, Wilcoxon signed-rank p = 0.031. Binarised to ranked-first, the matched comparison is 0 of 6 against 5 of 6, McNemar p = 0.0625, which is why the rank comparison rather than the proportion is reported.</w:t>
      </w:r>
    </w:p>
    <w:p>
      <w:pPr>
        <w:spacing w:after="140" w:line="300"/>
      </w:pPr>
      <w:r>
        <w:t xml:space="preserve">By inhibitor class, water-bridging compounds (n = 12) improve from 0/12 to 6/12 with a mean change of −1.76 Å, while water-displacing compounds (n = 5) remain at 0/5 with a mean change of +0.36 Å. The class difference gives Mann–Whitney p = 0.014.</w:t>
      </w:r>
    </w:p>
    <w:p>
      <w:pPr>
        <w:spacing w:after="80" w:before="220"/>
        <w:jc w:val="center"/>
      </w:pPr>
      <w:r>
        <w:drawing>
          <wp:inline distT="0" distB="0" distL="0" distR="0">
            <wp:extent cx="5143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219575"/>
                    </a:xfrm>
                    <a:prstGeom prst="rect">
                      <a:avLst/>
                    </a:prstGeom>
                  </pic:spPr>
                </pic:pic>
              </a:graphicData>
            </a:graphic>
          </wp:inline>
        </w:drawing>
      </w:r>
    </w:p>
    <w:p>
      <w:pPr>
        <w:spacing w:after="240"/>
        <w:jc w:val="center"/>
      </w:pPr>
      <w:r>
        <w:rPr>
          <w:b/>
          <w:bCs/>
          <w:sz w:val="19"/>
          <w:szCs w:val="19"/>
        </w:rPr>
        <w:t xml:space="preserve">Figure 3. </w:t>
      </w:r>
      <w:r>
        <w:rPr>
          <w:sz w:val="19"/>
          <w:szCs w:val="19"/>
        </w:rPr>
        <w:t xml:space="preserve">Top-ranked pose RMSD against the crystal structure, dry versus wet receptor, symmetry-corrected and not superposed. Ligands are split by class; the shaded band marks the 2 Å criterion.</w:t>
      </w:r>
    </w:p>
    <w:p>
      <w:pPr>
        <w:spacing w:after="80" w:before="22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24175"/>
                    </a:xfrm>
                    <a:prstGeom prst="rect">
                      <a:avLst/>
                    </a:prstGeom>
                  </pic:spPr>
                </pic:pic>
              </a:graphicData>
            </a:graphic>
          </wp:inline>
        </w:drawing>
      </w:r>
    </w:p>
    <w:p>
      <w:pPr>
        <w:spacing w:after="240"/>
        <w:jc w:val="center"/>
      </w:pPr>
      <w:r>
        <w:rPr>
          <w:b/>
          <w:bCs/>
          <w:sz w:val="19"/>
          <w:szCs w:val="19"/>
        </w:rPr>
        <w:t xml:space="preserve">Figure 4. </w:t>
      </w:r>
      <w:r>
        <w:rPr>
          <w:sz w:val="19"/>
          <w:szCs w:val="19"/>
        </w:rPr>
        <w:t xml:space="preserve">Bridging waters act on ranking, not on sampling. (A) A near-native pose appears among the nine modes in 6 of 17 ligands without waters and 7 of 17 with them; the dry set is a strict subset of the wet set (McNemar p = 1.0). (B) For the six ligands sampled in both receptors, the rank of that pose improves from a mean of 4.83 to 1.17, better in six cases out of six (Wilcoxon p = 0.031).</w:t>
      </w:r>
    </w:p>
    <w:p>
      <w:pPr>
        <w:spacing w:after="80" w:before="220"/>
        <w:jc w:val="center"/>
      </w:pPr>
      <w:r>
        <w:drawing>
          <wp:inline distT="0" distB="0" distL="0" distR="0">
            <wp:extent cx="58102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124200"/>
                    </a:xfrm>
                    <a:prstGeom prst="rect">
                      <a:avLst/>
                    </a:prstGeom>
                  </pic:spPr>
                </pic:pic>
              </a:graphicData>
            </a:graphic>
          </wp:inline>
        </w:drawing>
      </w:r>
    </w:p>
    <w:p>
      <w:pPr>
        <w:spacing w:after="240"/>
        <w:jc w:val="center"/>
      </w:pPr>
      <w:r>
        <w:rPr>
          <w:b/>
          <w:bCs/>
          <w:sz w:val="19"/>
          <w:szCs w:val="19"/>
        </w:rPr>
        <w:t xml:space="preserve">Figure 5. </w:t>
      </w:r>
      <w:r>
        <w:rPr>
          <w:sz w:val="19"/>
          <w:szCs w:val="19"/>
        </w:rPr>
        <w:t xml:space="preserve">Top-ranked poses against the crystal structure in both receptors. Crystal ligand in green, top-ranked dry pose in orange, top-ranked wet pose in blue; the five retained bridging waters as red spheres. All panels share one view. In the first six ligands the wet pose superposes on the crystal ligand while the dry pose does not. 7KG6_WDG is the single case where water retention worsens the result, and 6HMK_7JC is a water-displacing inhibitor that fails in both receptors.</w:t>
      </w:r>
    </w:p>
    <w:p>
      <w:pPr>
        <w:pStyle w:val="Heading2"/>
        <w:spacing w:after="120" w:before="260"/>
      </w:pPr>
      <w:r>
        <w:t xml:space="preserve">2.14 Conformational analysis</w:t>
      </w:r>
    </w:p>
    <w:p>
      <w:pPr>
        <w:spacing w:after="140" w:line="300"/>
      </w:pPr>
      <w:r>
        <w:t xml:space="preserve">Binding-site residues were defined as the 23 residues lying within 6 Å of M0M. Side-chain RMSD and maximum displacement were computed per structure, and χ₁ torsions for Tyr795 and Phe902 were measured across all 18 structures and assigned to discrete rotamer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E8E8E8" w:val="clear"/>
            <w:tcMar>
              <w:top w:type="dxa" w:w="60"/>
              <w:left w:type="dxa" w:w="100"/>
              <w:bottom w:type="dxa" w:w="60"/>
              <w:right w:type="dxa" w:w="100"/>
            </w:tcMar>
          </w:tcPr>
          <w:p>
            <w:r>
              <w:rPr>
                <w:b/>
                <w:bCs/>
                <w:sz w:val="19"/>
                <w:szCs w:val="19"/>
              </w:rPr>
              <w:t xml:space="preserve">Residue</w:t>
            </w:r>
          </w:p>
        </w:tc>
        <w:tc>
          <w:tcPr>
            <w:tcW w:type="dxa" w:w="2340"/>
            <w:shd w:fill="E8E8E8" w:val="clear"/>
            <w:tcMar>
              <w:top w:type="dxa" w:w="60"/>
              <w:left w:type="dxa" w:w="100"/>
              <w:bottom w:type="dxa" w:w="60"/>
              <w:right w:type="dxa" w:w="100"/>
            </w:tcMar>
          </w:tcPr>
          <w:p>
            <w:r>
              <w:rPr>
                <w:b/>
                <w:bCs/>
                <w:sz w:val="19"/>
                <w:szCs w:val="19"/>
              </w:rPr>
              <w:t xml:space="preserve">State A</w:t>
            </w:r>
          </w:p>
        </w:tc>
        <w:tc>
          <w:tcPr>
            <w:tcW w:type="dxa" w:w="2340"/>
            <w:shd w:fill="E8E8E8" w:val="clear"/>
            <w:tcMar>
              <w:top w:type="dxa" w:w="60"/>
              <w:left w:type="dxa" w:w="100"/>
              <w:bottom w:type="dxa" w:w="60"/>
              <w:right w:type="dxa" w:w="100"/>
            </w:tcMar>
          </w:tcPr>
          <w:p>
            <w:r>
              <w:rPr>
                <w:b/>
                <w:bCs/>
                <w:sz w:val="19"/>
                <w:szCs w:val="19"/>
              </w:rPr>
              <w:t xml:space="preserve">State B</w:t>
            </w:r>
          </w:p>
        </w:tc>
        <w:tc>
          <w:tcPr>
            <w:tcW w:type="dxa" w:w="2340"/>
            <w:shd w:fill="E8E8E8" w:val="clear"/>
            <w:tcMar>
              <w:top w:type="dxa" w:w="60"/>
              <w:left w:type="dxa" w:w="100"/>
              <w:bottom w:type="dxa" w:w="60"/>
              <w:right w:type="dxa" w:w="100"/>
            </w:tcMar>
          </w:tcPr>
          <w:p>
            <w:r>
              <w:rPr>
                <w:b/>
                <w:bCs/>
                <w:sz w:val="19"/>
                <w:szCs w:val="19"/>
              </w:rPr>
              <w:t xml:space="preserve">Separation</w:t>
            </w:r>
          </w:p>
        </w:tc>
      </w:tr>
      <w:tr>
        <w:trPr>
          <w:cantSplit/>
        </w:trPr>
        <w:tc>
          <w:tcPr>
            <w:tcW w:type="dxa" w:w="2340"/>
            <w:tcMar>
              <w:top w:type="dxa" w:w="60"/>
              <w:left w:type="dxa" w:w="100"/>
              <w:bottom w:type="dxa" w:w="60"/>
              <w:right w:type="dxa" w:w="100"/>
            </w:tcMar>
          </w:tcPr>
          <w:p>
            <w:r>
              <w:rPr>
                <w:b w:val="false"/>
                <w:bCs w:val="false"/>
                <w:sz w:val="19"/>
                <w:szCs w:val="19"/>
              </w:rPr>
              <w:t xml:space="preserve">Tyr795</w:t>
            </w:r>
          </w:p>
        </w:tc>
        <w:tc>
          <w:tcPr>
            <w:tcW w:type="dxa" w:w="2340"/>
            <w:tcMar>
              <w:top w:type="dxa" w:w="60"/>
              <w:left w:type="dxa" w:w="100"/>
              <w:bottom w:type="dxa" w:w="60"/>
              <w:right w:type="dxa" w:w="100"/>
            </w:tcMar>
          </w:tcPr>
          <w:p>
            <w:r>
              <w:rPr>
                <w:b w:val="false"/>
                <w:bCs w:val="false"/>
                <w:sz w:val="19"/>
                <w:szCs w:val="19"/>
              </w:rPr>
              <w:t xml:space="preserve">+66.3 ± 3.3° (gauche⁺)</w:t>
            </w:r>
          </w:p>
        </w:tc>
        <w:tc>
          <w:tcPr>
            <w:tcW w:type="dxa" w:w="2340"/>
            <w:tcMar>
              <w:top w:type="dxa" w:w="60"/>
              <w:left w:type="dxa" w:w="100"/>
              <w:bottom w:type="dxa" w:w="60"/>
              <w:right w:type="dxa" w:w="100"/>
            </w:tcMar>
          </w:tcPr>
          <w:p>
            <w:r>
              <w:rPr>
                <w:b w:val="false"/>
                <w:bCs w:val="false"/>
                <w:sz w:val="19"/>
                <w:szCs w:val="19"/>
              </w:rPr>
              <w:t xml:space="preserve">−168.5 ± 4.0° (trans)</w:t>
            </w:r>
          </w:p>
        </w:tc>
        <w:tc>
          <w:tcPr>
            <w:tcW w:type="dxa" w:w="2340"/>
            <w:tcMar>
              <w:top w:type="dxa" w:w="60"/>
              <w:left w:type="dxa" w:w="100"/>
              <w:bottom w:type="dxa" w:w="60"/>
              <w:right w:type="dxa" w:w="100"/>
            </w:tcMar>
          </w:tcPr>
          <w:p>
            <w:r>
              <w:rPr>
                <w:b w:val="false"/>
                <w:bCs w:val="false"/>
                <w:sz w:val="19"/>
                <w:szCs w:val="19"/>
              </w:rPr>
              <w:t xml:space="preserve">~235°</w:t>
            </w:r>
          </w:p>
        </w:tc>
      </w:tr>
      <w:tr>
        <w:trPr>
          <w:cantSplit/>
        </w:trPr>
        <w:tc>
          <w:tcPr>
            <w:tcW w:type="dxa" w:w="2340"/>
            <w:tcMar>
              <w:top w:type="dxa" w:w="60"/>
              <w:left w:type="dxa" w:w="100"/>
              <w:bottom w:type="dxa" w:w="60"/>
              <w:right w:type="dxa" w:w="100"/>
            </w:tcMar>
          </w:tcPr>
          <w:p>
            <w:r>
              <w:rPr>
                <w:b w:val="false"/>
                <w:bCs w:val="false"/>
                <w:sz w:val="19"/>
                <w:szCs w:val="19"/>
              </w:rPr>
              <w:t xml:space="preserve">Phe902</w:t>
            </w:r>
          </w:p>
        </w:tc>
        <w:tc>
          <w:tcPr>
            <w:tcW w:type="dxa" w:w="2340"/>
            <w:tcMar>
              <w:top w:type="dxa" w:w="60"/>
              <w:left w:type="dxa" w:w="100"/>
              <w:bottom w:type="dxa" w:w="60"/>
              <w:right w:type="dxa" w:w="100"/>
            </w:tcMar>
          </w:tcPr>
          <w:p>
            <w:r>
              <w:rPr>
                <w:b w:val="false"/>
                <w:bCs w:val="false"/>
                <w:sz w:val="19"/>
                <w:szCs w:val="19"/>
              </w:rPr>
              <w:t xml:space="preserve">−155.0 ± 4.4°</w:t>
            </w:r>
          </w:p>
        </w:tc>
        <w:tc>
          <w:tcPr>
            <w:tcW w:type="dxa" w:w="2340"/>
            <w:tcMar>
              <w:top w:type="dxa" w:w="60"/>
              <w:left w:type="dxa" w:w="100"/>
              <w:bottom w:type="dxa" w:w="60"/>
              <w:right w:type="dxa" w:w="100"/>
            </w:tcMar>
          </w:tcPr>
          <w:p>
            <w:r>
              <w:rPr>
                <w:b w:val="false"/>
                <w:bCs w:val="false"/>
                <w:sz w:val="19"/>
                <w:szCs w:val="19"/>
              </w:rPr>
              <w:t xml:space="preserve">−53.1 ± 6.7°</w:t>
            </w:r>
          </w:p>
        </w:tc>
        <w:tc>
          <w:tcPr>
            <w:tcW w:type="dxa" w:w="2340"/>
            <w:tcMar>
              <w:top w:type="dxa" w:w="60"/>
              <w:left w:type="dxa" w:w="100"/>
              <w:bottom w:type="dxa" w:w="60"/>
              <w:right w:type="dxa" w:w="100"/>
            </w:tcMar>
          </w:tcPr>
          <w:p>
            <w:r>
              <w:rPr>
                <w:b w:val="false"/>
                <w:bCs w:val="false"/>
                <w:sz w:val="19"/>
                <w:szCs w:val="19"/>
              </w:rPr>
              <w:t xml:space="preserve">~102°</w:t>
            </w:r>
          </w:p>
        </w:tc>
      </w:tr>
    </w:tbl>
    <w:p>
      <w:pPr>
        <w:spacing w:after="140"/>
      </w:pPr>
    </w:p>
    <w:p>
      <w:pPr>
        <w:spacing w:after="140" w:line="300"/>
      </w:pPr>
      <w:r>
        <w:t xml:space="preserve">The two residues switch in concert in all 18 structures; no structure shows one flipped without the other, and nine structures occupy each state. Every successfully docked ligand derives from a state A structure.</w:t>
      </w:r>
    </w:p>
    <w:p>
      <w:pPr>
        <w:spacing w:after="140" w:line="300"/>
      </w:pPr>
      <w:r>
        <w:t xml:space="preserve">On the B-factor objection: Tyr795 in 6OAK refines at 62.4 Å², which alone would be dismissible as disorder. But 6HMK sits at 22.1 Å² in state B and 6OA1 at 27.5 Å² in state A, so well-ordered examples occur in both clusters. The elevated B-factor in 6OAK is a symptom of a residue sampling two positions, not an argument against the finding.</w:t>
      </w:r>
    </w:p>
    <w:p>
      <w:pPr>
        <w:spacing w:after="80" w:before="220"/>
        <w:jc w:val="center"/>
      </w:pPr>
      <w:r>
        <w:drawing>
          <wp:inline distT="0" distB="0" distL="0" distR="0">
            <wp:extent cx="4762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943350"/>
                    </a:xfrm>
                    <a:prstGeom prst="rect">
                      <a:avLst/>
                    </a:prstGeom>
                  </pic:spPr>
                </pic:pic>
              </a:graphicData>
            </a:graphic>
          </wp:inline>
        </w:drawing>
      </w:r>
    </w:p>
    <w:p>
      <w:pPr>
        <w:spacing w:after="240"/>
        <w:jc w:val="center"/>
      </w:pPr>
      <w:r>
        <w:rPr>
          <w:b/>
          <w:bCs/>
          <w:sz w:val="19"/>
          <w:szCs w:val="19"/>
        </w:rPr>
        <w:t xml:space="preserve">Figure 6. </w:t>
      </w:r>
      <w:r>
        <w:rPr>
          <w:sz w:val="19"/>
          <w:szCs w:val="19"/>
        </w:rPr>
        <w:t xml:space="preserve">χ₁ torsions of Tyr795 and Phe902 across all 18 PARG structures, showing two discrete rotamer states occupied by nine structures each, switching in concert.</w:t>
      </w:r>
    </w:p>
    <w:p>
      <w:pPr>
        <w:spacing w:after="80" w:before="22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667000"/>
                    </a:xfrm>
                    <a:prstGeom prst="rect">
                      <a:avLst/>
                    </a:prstGeom>
                  </pic:spPr>
                </pic:pic>
              </a:graphicData>
            </a:graphic>
          </wp:inline>
        </w:drawing>
      </w:r>
    </w:p>
    <w:p>
      <w:pPr>
        <w:spacing w:after="240"/>
        <w:jc w:val="center"/>
      </w:pPr>
      <w:r>
        <w:rPr>
          <w:b/>
          <w:bCs/>
          <w:sz w:val="19"/>
          <w:szCs w:val="19"/>
        </w:rPr>
        <w:t xml:space="preserve">Figure 7. </w:t>
      </w:r>
      <w:r>
        <w:rPr>
          <w:sz w:val="19"/>
          <w:szCs w:val="19"/>
        </w:rPr>
        <w:t xml:space="preserve">Binding-site side-chain displacement, successfully docked against failed ligands. Note: grouping requires recomputation on the corrected n = 6 / n = 11 split — see §2.16.</w:t>
      </w:r>
    </w:p>
    <w:p>
      <w:pPr>
        <w:spacing w:after="80" w:before="220"/>
        <w:jc w:val="center"/>
      </w:pPr>
      <w:r>
        <w:drawing>
          <wp:inline distT="0" distB="0" distL="0" distR="0">
            <wp:extent cx="4762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371850"/>
                    </a:xfrm>
                    <a:prstGeom prst="rect">
                      <a:avLst/>
                    </a:prstGeom>
                  </pic:spPr>
                </pic:pic>
              </a:graphicData>
            </a:graphic>
          </wp:inline>
        </w:drawing>
      </w:r>
    </w:p>
    <w:p>
      <w:pPr>
        <w:spacing w:after="240"/>
        <w:jc w:val="center"/>
      </w:pPr>
      <w:r>
        <w:rPr>
          <w:b/>
          <w:bCs/>
          <w:sz w:val="19"/>
          <w:szCs w:val="19"/>
        </w:rPr>
        <w:t xml:space="preserve">Figure 8. </w:t>
      </w:r>
      <w:r>
        <w:rPr>
          <w:sz w:val="19"/>
          <w:szCs w:val="19"/>
        </w:rPr>
        <w:t xml:space="preserve">Side-chain displacement against top-1 pose RMSD. Note: as above, pending regrouping.</w:t>
      </w:r>
    </w:p>
    <w:p>
      <w:pPr>
        <w:pStyle w:val="Heading2"/>
        <w:spacing w:after="120" w:before="260"/>
      </w:pPr>
      <w:r>
        <w:t xml:space="preserve">2.15 Statistical analysis</w:t>
      </w:r>
    </w:p>
    <w:p>
      <w:pPr>
        <w:spacing w:after="140" w:line="300"/>
      </w:pPr>
      <w:r>
        <w:t xml:space="preserve">Paired binary outcomes were tested by exact McNemar, that is, a binomial test on discordant pairs. Paired continuous and ordinal outcomes used the Wilcoxon signed-rank test. Unpaired comparisons used Mann–Whitney U, and count enrichment used Fisher’s exact test. Exact variants were used throughout given the sample sizes. Sidedness differs between analyses and is stated per test: the cross-docking comparisons in §2.13 are two-sided, while the random control in §2.7 was computed one-sided — Mann–Whitney with the alternative that model-ranked affinities are lower, Fisher with the alternative that enrichment is greater. Both one- and two-sided values are reported for the control. Two-sided values are the ones to quote unless the directional hypothesis was fixed before the run.</w:t>
      </w:r>
    </w:p>
    <w:p>
      <w:pPr>
        <w:spacing w:after="140" w:line="300"/>
      </w:pPr>
      <w:r>
        <w:t xml:space="preserve">Comparisons between receptors are paired by ligand, since the same 17 compounds were docked into both. Where sampling differs between receptors, ranking comparisons are restricted to ligands sampled in both, so that denominators match.</w:t>
      </w:r>
    </w:p>
    <w:p>
      <w:pPr>
        <w:spacing w:after="140" w:line="300"/>
      </w:pPr>
      <w:r>
        <w:t xml:space="preserve">No correction for multiple comparisons was applied; nominal p-values are reported and should be read accordingly. Where a test is at its significance floor for the available sample size — as the six-pair Wilcoxon is, returning exactly 2/2⁶ = 0.031 — this is stated.</w:t>
      </w:r>
    </w:p>
    <w:p>
      <w:pPr>
        <w:pStyle w:val="Heading1"/>
        <w:spacing w:after="160" w:before="320"/>
      </w:pPr>
      <w:r>
        <w:t xml:space="preserve">2.16 Outstanding before submission</w:t>
      </w:r>
    </w:p>
    <w:p>
      <w:pPr>
        <w:spacing w:after="140" w:line="300"/>
      </w:pPr>
      <w:r>
        <w:t xml:space="preserve">The recomputation to true symmetry-corrected RMSD has been applied to the cross-docking top-1 and all-pose analysis only. The following still carry optimal-assignment lower bounds or depend on the superseded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E8E8E8" w:val="clear"/>
            <w:tcMar>
              <w:top w:type="dxa" w:w="60"/>
              <w:left w:type="dxa" w:w="100"/>
              <w:bottom w:type="dxa" w:w="60"/>
              <w:right w:type="dxa" w:w="100"/>
            </w:tcMar>
          </w:tcPr>
          <w:p>
            <w:r>
              <w:rPr>
                <w:b/>
                <w:bCs/>
                <w:sz w:val="19"/>
                <w:szCs w:val="19"/>
              </w:rPr>
              <w:t xml:space="preserve">Item</w:t>
            </w:r>
          </w:p>
        </w:tc>
        <w:tc>
          <w:tcPr>
            <w:tcW w:type="dxa" w:w="4680"/>
            <w:shd w:fill="E8E8E8" w:val="clear"/>
            <w:tcMar>
              <w:top w:type="dxa" w:w="60"/>
              <w:left w:type="dxa" w:w="100"/>
              <w:bottom w:type="dxa" w:w="60"/>
              <w:right w:type="dxa" w:w="100"/>
            </w:tcMar>
          </w:tcPr>
          <w:p>
            <w:r>
              <w:rPr>
                <w:b/>
                <w:bCs/>
                <w:sz w:val="19"/>
                <w:szCs w:val="19"/>
              </w:rPr>
              <w:t xml:space="preserve">Status</w:t>
            </w:r>
          </w:p>
        </w:tc>
      </w:tr>
      <w:tr>
        <w:trPr>
          <w:cantSplit/>
        </w:trPr>
        <w:tc>
          <w:tcPr>
            <w:tcW w:type="dxa" w:w="4680"/>
            <w:tcMar>
              <w:top w:type="dxa" w:w="60"/>
              <w:left w:type="dxa" w:w="100"/>
              <w:bottom w:type="dxa" w:w="60"/>
              <w:right w:type="dxa" w:w="100"/>
            </w:tcMar>
          </w:tcPr>
          <w:p>
            <w:r>
              <w:rPr>
                <w:b w:val="false"/>
                <w:bCs w:val="false"/>
                <w:sz w:val="19"/>
                <w:szCs w:val="19"/>
              </w:rPr>
              <w:t xml:space="preserve">§2.11 redocking (3.75 / 0.99 Å)</w:t>
            </w:r>
          </w:p>
        </w:tc>
        <w:tc>
          <w:tcPr>
            <w:tcW w:type="dxa" w:w="4680"/>
            <w:tcMar>
              <w:top w:type="dxa" w:w="60"/>
              <w:left w:type="dxa" w:w="100"/>
              <w:bottom w:type="dxa" w:w="60"/>
              <w:right w:type="dxa" w:w="100"/>
            </w:tcMar>
          </w:tcPr>
          <w:p>
            <w:r>
              <w:rPr>
                <w:b w:val="false"/>
                <w:bCs w:val="false"/>
                <w:sz w:val="19"/>
                <w:szCs w:val="19"/>
              </w:rPr>
              <w:t xml:space="preserve">lower bound; direction safe, recompute</w:t>
            </w:r>
          </w:p>
        </w:tc>
      </w:tr>
      <w:tr>
        <w:trPr>
          <w:cantSplit/>
        </w:trPr>
        <w:tc>
          <w:tcPr>
            <w:tcW w:type="dxa" w:w="4680"/>
            <w:tcMar>
              <w:top w:type="dxa" w:w="60"/>
              <w:left w:type="dxa" w:w="100"/>
              <w:bottom w:type="dxa" w:w="60"/>
              <w:right w:type="dxa" w:w="100"/>
            </w:tcMar>
          </w:tcPr>
          <w:p>
            <w:r>
              <w:rPr>
                <w:b w:val="false"/>
                <w:bCs w:val="false"/>
                <w:sz w:val="19"/>
                <w:szCs w:val="19"/>
              </w:rPr>
              <w:t xml:space="preserve">Failure analysis groups</w:t>
            </w:r>
          </w:p>
        </w:tc>
        <w:tc>
          <w:tcPr>
            <w:tcW w:type="dxa" w:w="4680"/>
            <w:tcMar>
              <w:top w:type="dxa" w:w="60"/>
              <w:left w:type="dxa" w:w="100"/>
              <w:bottom w:type="dxa" w:w="60"/>
              <w:right w:type="dxa" w:w="100"/>
            </w:tcMar>
          </w:tcPr>
          <w:p>
            <w:r>
              <w:rPr>
                <w:b w:val="false"/>
                <w:bCs w:val="false"/>
                <w:sz w:val="19"/>
                <w:szCs w:val="19"/>
              </w:rPr>
              <w:t xml:space="preserve">now n = 6 / n = 11, not 7 / 10 — recompute means and the bimodal-gap claim</w:t>
            </w:r>
          </w:p>
        </w:tc>
      </w:tr>
      <w:tr>
        <w:trPr>
          <w:cantSplit/>
        </w:trPr>
        <w:tc>
          <w:tcPr>
            <w:tcW w:type="dxa" w:w="4680"/>
            <w:tcMar>
              <w:top w:type="dxa" w:w="60"/>
              <w:left w:type="dxa" w:w="100"/>
              <w:bottom w:type="dxa" w:w="60"/>
              <w:right w:type="dxa" w:w="100"/>
            </w:tcMar>
          </w:tcPr>
          <w:p>
            <w:r>
              <w:rPr>
                <w:b w:val="false"/>
                <w:bCs w:val="false"/>
                <w:sz w:val="19"/>
                <w:szCs w:val="19"/>
              </w:rPr>
              <w:t xml:space="preserve">Rotamer exceptions</w:t>
            </w:r>
          </w:p>
        </w:tc>
        <w:tc>
          <w:tcPr>
            <w:tcW w:type="dxa" w:w="4680"/>
            <w:tcMar>
              <w:top w:type="dxa" w:w="60"/>
              <w:left w:type="dxa" w:w="100"/>
              <w:bottom w:type="dxa" w:w="60"/>
              <w:right w:type="dxa" w:w="100"/>
            </w:tcMar>
          </w:tcPr>
          <w:p>
            <w:r>
              <w:rPr>
                <w:b w:val="false"/>
                <w:bCs w:val="false"/>
                <w:sz w:val="19"/>
                <w:szCs w:val="19"/>
              </w:rPr>
              <w:t xml:space="preserve">now two, not one: 7KG6_WDG and 6OA3_M0M (fails by 0.03 Å — describe as borderline)</w:t>
            </w:r>
          </w:p>
        </w:tc>
      </w:tr>
      <w:tr>
        <w:trPr>
          <w:cantSplit/>
        </w:trPr>
        <w:tc>
          <w:tcPr>
            <w:tcW w:type="dxa" w:w="4680"/>
            <w:tcMar>
              <w:top w:type="dxa" w:w="60"/>
              <w:left w:type="dxa" w:w="100"/>
              <w:bottom w:type="dxa" w:w="60"/>
              <w:right w:type="dxa" w:w="100"/>
            </w:tcMar>
          </w:tcPr>
          <w:p>
            <w:r>
              <w:rPr>
                <w:b w:val="false"/>
                <w:bCs w:val="false"/>
                <w:sz w:val="19"/>
                <w:szCs w:val="19"/>
              </w:rPr>
              <w:t xml:space="preserve">Ensemble docking figures</w:t>
            </w:r>
          </w:p>
        </w:tc>
        <w:tc>
          <w:tcPr>
            <w:tcW w:type="dxa" w:w="4680"/>
            <w:tcMar>
              <w:top w:type="dxa" w:w="60"/>
              <w:left w:type="dxa" w:w="100"/>
              <w:bottom w:type="dxa" w:w="60"/>
              <w:right w:type="dxa" w:w="100"/>
            </w:tcMar>
          </w:tcPr>
          <w:p>
            <w:r>
              <w:rPr>
                <w:b w:val="false"/>
                <w:bCs w:val="false"/>
                <w:sz w:val="19"/>
                <w:szCs w:val="19"/>
              </w:rPr>
              <w:t xml:space="preserve">7/17, 6/17, 7/17 all on the old metric</w:t>
            </w:r>
          </w:p>
        </w:tc>
      </w:tr>
      <w:tr>
        <w:trPr>
          <w:cantSplit/>
        </w:trPr>
        <w:tc>
          <w:tcPr>
            <w:tcW w:type="dxa" w:w="4680"/>
            <w:tcMar>
              <w:top w:type="dxa" w:w="60"/>
              <w:left w:type="dxa" w:w="100"/>
              <w:bottom w:type="dxa" w:w="60"/>
              <w:right w:type="dxa" w:w="100"/>
            </w:tcMar>
          </w:tcPr>
          <w:p>
            <w:r>
              <w:rPr>
                <w:b w:val="false"/>
                <w:bCs w:val="false"/>
                <w:sz w:val="19"/>
                <w:szCs w:val="19"/>
              </w:rPr>
              <w:t xml:space="preserve">§2.12 class assignment</w:t>
            </w:r>
          </w:p>
        </w:tc>
        <w:tc>
          <w:tcPr>
            <w:tcW w:type="dxa" w:w="4680"/>
            <w:tcMar>
              <w:top w:type="dxa" w:w="60"/>
              <w:left w:type="dxa" w:w="100"/>
              <w:bottom w:type="dxa" w:w="60"/>
              <w:right w:type="dxa" w:w="100"/>
            </w:tcMar>
          </w:tcPr>
          <w:p>
            <w:r>
              <w:rPr>
                <w:b w:val="false"/>
                <w:bCs w:val="false"/>
                <w:sz w:val="19"/>
                <w:szCs w:val="19"/>
              </w:rPr>
              <w:t xml:space="preserve">7KFP_WD7 computes at 0.96 Å from HOH 1402 — displacing, not bridging; check against 10_waters.py. Conclusion holds either way (p 0.0136 → 0.0145)</w:t>
            </w:r>
          </w:p>
        </w:tc>
      </w:tr>
      <w:tr>
        <w:trPr>
          <w:cantSplit/>
        </w:trPr>
        <w:tc>
          <w:tcPr>
            <w:tcW w:type="dxa" w:w="4680"/>
            <w:tcMar>
              <w:top w:type="dxa" w:w="60"/>
              <w:left w:type="dxa" w:w="100"/>
              <w:bottom w:type="dxa" w:w="60"/>
              <w:right w:type="dxa" w:w="100"/>
            </w:tcMar>
          </w:tcPr>
          <w:p>
            <w:r>
              <w:rPr>
                <w:b w:val="false"/>
                <w:bCs w:val="false"/>
                <w:sz w:val="19"/>
                <w:szCs w:val="19"/>
              </w:rPr>
              <w:t xml:space="preserve">Test sidedness</w:t>
            </w:r>
          </w:p>
        </w:tc>
        <w:tc>
          <w:tcPr>
            <w:tcW w:type="dxa" w:w="4680"/>
            <w:tcMar>
              <w:top w:type="dxa" w:w="60"/>
              <w:left w:type="dxa" w:w="100"/>
              <w:bottom w:type="dxa" w:w="60"/>
              <w:right w:type="dxa" w:w="100"/>
            </w:tcMar>
          </w:tcPr>
          <w:p>
            <w:r>
              <w:rPr>
                <w:b w:val="false"/>
                <w:bCs w:val="false"/>
                <w:sz w:val="19"/>
                <w:szCs w:val="19"/>
              </w:rPr>
              <w:t xml:space="preserve">§16 p-values were computed one-sided and the record does not say so; §2.13 is two-sided. Declare both, or re-report the control two-sided</w:t>
            </w:r>
          </w:p>
        </w:tc>
      </w:tr>
      <w:tr>
        <w:trPr>
          <w:cantSplit/>
        </w:trPr>
        <w:tc>
          <w:tcPr>
            <w:tcW w:type="dxa" w:w="4680"/>
            <w:tcMar>
              <w:top w:type="dxa" w:w="60"/>
              <w:left w:type="dxa" w:w="100"/>
              <w:bottom w:type="dxa" w:w="60"/>
              <w:right w:type="dxa" w:w="100"/>
            </w:tcMar>
          </w:tcPr>
          <w:p>
            <w:r>
              <w:rPr>
                <w:b w:val="false"/>
                <w:bCs w:val="false"/>
                <w:sz w:val="19"/>
                <w:szCs w:val="19"/>
              </w:rPr>
              <w:t xml:space="preserve">Figures 1, 6, 7, 8</w:t>
            </w:r>
          </w:p>
        </w:tc>
        <w:tc>
          <w:tcPr>
            <w:tcW w:type="dxa" w:w="4680"/>
            <w:tcMar>
              <w:top w:type="dxa" w:w="60"/>
              <w:left w:type="dxa" w:w="100"/>
              <w:bottom w:type="dxa" w:w="60"/>
              <w:right w:type="dxa" w:w="100"/>
            </w:tcMar>
          </w:tcPr>
          <w:p>
            <w:r>
              <w:rPr>
                <w:b w:val="false"/>
                <w:bCs w:val="false"/>
                <w:sz w:val="19"/>
                <w:szCs w:val="19"/>
              </w:rPr>
              <w:t xml:space="preserve">built from transcribed numbers — regenerate from CSVs</w:t>
            </w:r>
          </w:p>
        </w:tc>
      </w:tr>
      <w:tr>
        <w:trPr>
          <w:cantSplit/>
        </w:trPr>
        <w:tc>
          <w:tcPr>
            <w:tcW w:type="dxa" w:w="4680"/>
            <w:tcMar>
              <w:top w:type="dxa" w:w="60"/>
              <w:left w:type="dxa" w:w="100"/>
              <w:bottom w:type="dxa" w:w="60"/>
              <w:right w:type="dxa" w:w="100"/>
            </w:tcMar>
          </w:tcPr>
          <w:p>
            <w:r>
              <w:rPr>
                <w:b w:val="false"/>
                <w:bCs w:val="false"/>
                <w:sz w:val="19"/>
                <w:szCs w:val="19"/>
              </w:rPr>
              <w:t xml:space="preserve">Software versions</w:t>
            </w:r>
          </w:p>
        </w:tc>
        <w:tc>
          <w:tcPr>
            <w:tcW w:type="dxa" w:w="4680"/>
            <w:tcMar>
              <w:top w:type="dxa" w:w="60"/>
              <w:left w:type="dxa" w:w="100"/>
              <w:bottom w:type="dxa" w:w="60"/>
              <w:right w:type="dxa" w:w="100"/>
            </w:tcMar>
          </w:tcPr>
          <w:p>
            <w:r>
              <w:rPr>
                <w:b w:val="false"/>
                <w:bCs w:val="false"/>
                <w:sz w:val="19"/>
                <w:szCs w:val="19"/>
              </w:rPr>
              <w:t xml:space="preserve">RDKit, LightGBM, scikit-learn, SciPy, NumPy still blank</w:t>
            </w:r>
          </w:p>
        </w:tc>
      </w:tr>
      <w:tr>
        <w:trPr>
          <w:cantSplit/>
        </w:trPr>
        <w:tc>
          <w:tcPr>
            <w:tcW w:type="dxa" w:w="4680"/>
            <w:tcMar>
              <w:top w:type="dxa" w:w="60"/>
              <w:left w:type="dxa" w:w="100"/>
              <w:bottom w:type="dxa" w:w="60"/>
              <w:right w:type="dxa" w:w="100"/>
            </w:tcMar>
          </w:tcPr>
          <w:p>
            <w:r>
              <w:rPr>
                <w:b w:val="false"/>
                <w:bCs w:val="false"/>
                <w:sz w:val="19"/>
                <w:szCs w:val="19"/>
              </w:rPr>
              <w:t xml:space="preserve">Target selection table</w:t>
            </w:r>
          </w:p>
        </w:tc>
        <w:tc>
          <w:tcPr>
            <w:tcW w:type="dxa" w:w="4680"/>
            <w:tcMar>
              <w:top w:type="dxa" w:w="60"/>
              <w:left w:type="dxa" w:w="100"/>
              <w:bottom w:type="dxa" w:w="60"/>
              <w:right w:type="dxa" w:w="100"/>
            </w:tcMar>
          </w:tcPr>
          <w:p>
            <w:r>
              <w:rPr>
                <w:b w:val="false"/>
                <w:bCs w:val="false"/>
                <w:sz w:val="19"/>
                <w:szCs w:val="19"/>
              </w:rPr>
              <w:t xml:space="preserve">ten-candidate comparison to be recovered and inserted</w:t>
            </w:r>
          </w:p>
        </w:tc>
      </w:tr>
      <w:tr>
        <w:trPr>
          <w:cantSplit/>
        </w:trPr>
        <w:tc>
          <w:tcPr>
            <w:tcW w:type="dxa" w:w="4680"/>
            <w:tcMar>
              <w:top w:type="dxa" w:w="60"/>
              <w:left w:type="dxa" w:w="100"/>
              <w:bottom w:type="dxa" w:w="60"/>
              <w:right w:type="dxa" w:w="100"/>
            </w:tcMar>
          </w:tcPr>
          <w:p>
            <w:r>
              <w:rPr>
                <w:b w:val="false"/>
                <w:bCs w:val="false"/>
                <w:sz w:val="19"/>
                <w:szCs w:val="19"/>
              </w:rPr>
              <w:t xml:space="preserve">Gln754 assignment</w:t>
            </w:r>
          </w:p>
        </w:tc>
        <w:tc>
          <w:tcPr>
            <w:tcW w:type="dxa" w:w="4680"/>
            <w:tcMar>
              <w:top w:type="dxa" w:w="60"/>
              <w:left w:type="dxa" w:w="100"/>
              <w:bottom w:type="dxa" w:w="60"/>
              <w:right w:type="dxa" w:w="100"/>
            </w:tcMar>
          </w:tcPr>
          <w:p>
            <w:r>
              <w:rPr>
                <w:b w:val="false"/>
                <w:bCs w:val="false"/>
                <w:sz w:val="19"/>
                <w:szCs w:val="19"/>
              </w:rPr>
              <w:t xml:space="preserve">verify against a primary structural source</w:t>
            </w:r>
          </w:p>
        </w:tc>
      </w:tr>
      <w:tr>
        <w:trPr>
          <w:cantSplit/>
        </w:trPr>
        <w:tc>
          <w:tcPr>
            <w:tcW w:type="dxa" w:w="4680"/>
            <w:tcMar>
              <w:top w:type="dxa" w:w="60"/>
              <w:left w:type="dxa" w:w="100"/>
              <w:bottom w:type="dxa" w:w="60"/>
              <w:right w:type="dxa" w:w="100"/>
            </w:tcMar>
          </w:tcPr>
          <w:p>
            <w:r>
              <w:rPr>
                <w:b w:val="false"/>
                <w:bCs w:val="false"/>
                <w:sz w:val="19"/>
                <w:szCs w:val="19"/>
              </w:rPr>
              <w:t xml:space="preserve">Seed counts</w:t>
            </w:r>
          </w:p>
        </w:tc>
        <w:tc>
          <w:tcPr>
            <w:tcW w:type="dxa" w:w="4680"/>
            <w:tcMar>
              <w:top w:type="dxa" w:w="60"/>
              <w:left w:type="dxa" w:w="100"/>
              <w:bottom w:type="dxa" w:w="60"/>
              <w:right w:type="dxa" w:w="100"/>
            </w:tcMar>
          </w:tcPr>
          <w:p>
            <w:r>
              <w:rPr>
                <w:b w:val="false"/>
                <w:bCs w:val="false"/>
                <w:sz w:val="19"/>
                <w:szCs w:val="19"/>
              </w:rPr>
              <w:t xml:space="preserve">LightGBM 5 vs Chemprop 3 — make them match</w:t>
            </w:r>
          </w:p>
        </w:tc>
      </w:tr>
      <w:tr>
        <w:trPr>
          <w:cantSplit/>
        </w:trPr>
        <w:tc>
          <w:tcPr>
            <w:tcW w:type="dxa" w:w="4680"/>
            <w:tcMar>
              <w:top w:type="dxa" w:w="60"/>
              <w:left w:type="dxa" w:w="100"/>
              <w:bottom w:type="dxa" w:w="60"/>
              <w:right w:type="dxa" w:w="100"/>
            </w:tcMar>
          </w:tcPr>
          <w:p>
            <w:r>
              <w:rPr>
                <w:b w:val="false"/>
                <w:bCs w:val="false"/>
                <w:sz w:val="19"/>
                <w:szCs w:val="19"/>
              </w:rPr>
              <w:t xml:space="preserve">Zenodo deposition</w:t>
            </w:r>
          </w:p>
        </w:tc>
        <w:tc>
          <w:tcPr>
            <w:tcW w:type="dxa" w:w="4680"/>
            <w:tcMar>
              <w:top w:type="dxa" w:w="60"/>
              <w:left w:type="dxa" w:w="100"/>
              <w:bottom w:type="dxa" w:w="60"/>
              <w:right w:type="dxa" w:w="100"/>
            </w:tcMar>
          </w:tcPr>
          <w:p>
            <w:r>
              <w:rPr>
                <w:b w:val="false"/>
                <w:bCs w:val="false"/>
                <w:sz w:val="19"/>
                <w:szCs w:val="19"/>
              </w:rPr>
              <w:t xml:space="preserve">scripts and data, cite DOI in Methods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cbeb52daf43570faea5aad61a0b62585017602.png"/><Relationship Id="rId8" Type="http://schemas.openxmlformats.org/officeDocument/2006/relationships/image" Target="media/87beff14c95332eb7c53e145cdf1315b4d0baf96.png"/><Relationship Id="rId9" Type="http://schemas.openxmlformats.org/officeDocument/2006/relationships/image" Target="media/c5de060c77a5bb5869ea34fb352d6cb49d0f923e.png"/><Relationship Id="rId10" Type="http://schemas.openxmlformats.org/officeDocument/2006/relationships/image" Target="media/9500b4e6bfe9a0fb84955431989aa1a20e7b024d.png"/><Relationship Id="rId11" Type="http://schemas.openxmlformats.org/officeDocument/2006/relationships/image" Target="media/9087f4b5f5bf10a81d43da4825cd306c68b2a966.png"/><Relationship Id="rId12" Type="http://schemas.openxmlformats.org/officeDocument/2006/relationships/image" Target="media/48d3cd217c94598bdfc9cb31958ab511339b55be.png"/><Relationship Id="rId13" Type="http://schemas.openxmlformats.org/officeDocument/2006/relationships/image" Target="media/b6fd3f2b02258b1457e3ed5b146e51871ae6fded.png"/><Relationship Id="rId14" Type="http://schemas.openxmlformats.org/officeDocument/2006/relationships/image" Target="media/10e64df6b0ae9d2ef3e9388a55efab341ea1c37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2026-10-16T07:15:21.995Z</dcterms:created>
  <dcterms:modified xsi:type="dcterms:W3CDTF">2026-10-16T07:15:21.996Z</dcterms:modified>
</cp:coreProperties>
</file>

<file path=docProps/custom.xml><?xml version="1.0" encoding="utf-8"?>
<Properties xmlns="http://schemas.openxmlformats.org/officeDocument/2006/custom-properties" xmlns:vt="http://schemas.openxmlformats.org/officeDocument/2006/docPropsVTypes"/>
</file>