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Methodological provenance and citations</w:t>
      </w:r>
    </w:p>
    <w:p>
      <w:pPr>
        <w:spacing w:after="40"/>
        <w:jc w:val="center"/>
      </w:pPr>
      <w:r>
        <w:rPr>
          <w:sz w:val="24"/>
          <w:szCs w:val="24"/>
        </w:rPr>
        <w:t xml:space="preserve">Companion to the PARG Methods section</w:t>
      </w:r>
    </w:p>
    <w:p>
      <w:pPr>
        <w:spacing w:after="320"/>
        <w:jc w:val="center"/>
      </w:pPr>
      <w:r>
        <w:rPr>
          <w:i/>
          <w:iCs/>
          <w:sz w:val="20"/>
          <w:szCs w:val="20"/>
        </w:rPr>
        <w:t xml:space="preserve">Prepared 16 October 2026</w:t>
      </w:r>
    </w:p>
    <w:p>
      <w:pPr>
        <w:pStyle w:val="Heading1"/>
        <w:spacing w:after="160" w:before="320"/>
      </w:pPr>
      <w:r>
        <w:t xml:space="preserve">1. What this document answers</w:t>
      </w:r>
    </w:p>
    <w:p>
      <w:pPr>
        <w:spacing w:after="140" w:line="300"/>
      </w:pPr>
      <w:r>
        <w:t xml:space="preserve">You asked which paper the methodology follows. The direct answer is </w:t>
      </w:r>
      <w:r>
        <w:rPr>
          <w:b/>
          <w:bCs/>
        </w:rPr>
        <w:t xml:space="preserve">none</w:t>
      </w:r>
      <w:r>
        <w:t xml:space="preserve">. No external protocol or published method was used as a template. Every procedural choice in the Methods section came from LAB_RECORD.md — your own record of what you did, in what order, with what settings. The Methods text reorganises and corrects that record; it does not import a method from anywhere.</w:t>
      </w:r>
    </w:p>
    <w:p>
      <w:pPr>
        <w:spacing w:after="140" w:line="300"/>
      </w:pPr>
      <w:r>
        <w:t xml:space="preserve">That is not a defect. It does mean the Methods section currently contains no citations at all, and a manuscript cannot be submitted that way. This document lists what has to be cited, separated by whether the reference has been verified.</w:t>
      </w:r>
    </w:p>
    <w:p>
      <w:pPr>
        <w:pBdr>
          <w:top w:val="single" w:color="5B9BD5" w:sz="6"/>
          <w:bottom w:val="single" w:color="5B9BD5" w:sz="6"/>
          <w:left w:val="single" w:color="5B9BD5" w:sz="6"/>
          <w:right w:val="single" w:color="5B9BD5" w:sz="6"/>
        </w:pBdr>
        <w:shd w:fill="EAF2F8" w:val="clear"/>
        <w:spacing w:after="60"/>
        <w:ind w:left="180" w:right="180"/>
      </w:pPr>
      <w:r>
        <w:rPr>
          <w:b/>
          <w:bCs/>
          <w:sz w:val="19"/>
          <w:szCs w:val="19"/>
        </w:rPr>
        <w:t xml:space="preserve">How to read the two citation tables</w:t>
      </w:r>
    </w:p>
    <w:p>
      <w:pPr>
        <w:pBdr>
          <w:top w:val="single" w:color="5B9BD5" w:sz="6"/>
          <w:bottom w:val="single" w:color="5B9BD5" w:sz="6"/>
          <w:left w:val="single" w:color="5B9BD5" w:sz="6"/>
          <w:right w:val="single" w:color="5B9BD5" w:sz="6"/>
        </w:pBdr>
        <w:shd w:fill="EAF2F8" w:val="clear"/>
        <w:spacing w:after="60"/>
        <w:ind w:left="180" w:right="180"/>
      </w:pPr>
      <w:r>
        <w:rPr>
          <w:b w:val="false"/>
          <w:bCs w:val="false"/>
          <w:sz w:val="19"/>
          <w:szCs w:val="19"/>
        </w:rPr>
        <w:t xml:space="preserve">Section 3 lists references verified against PubMed on 16 October 2026. Author lists, journals, volumes, pages and DOIs come from the PubMed record, not from memory.</w:t>
      </w:r>
    </w:p>
    <w:p>
      <w:pPr>
        <w:pBdr>
          <w:top w:val="single" w:color="5B9BD5" w:sz="6"/>
          <w:bottom w:val="single" w:color="5B9BD5" w:sz="6"/>
          <w:left w:val="single" w:color="5B9BD5" w:sz="6"/>
          <w:right w:val="single" w:color="5B9BD5" w:sz="6"/>
        </w:pBdr>
        <w:shd w:fill="EAF2F8" w:val="clear"/>
        <w:spacing w:after="60"/>
        <w:ind w:left="180" w:right="180"/>
      </w:pPr>
      <w:r>
        <w:rPr>
          <w:b w:val="false"/>
          <w:bCs w:val="false"/>
          <w:sz w:val="19"/>
          <w:szCs w:val="19"/>
        </w:rPr>
        <w:t xml:space="preserve">Section 4 lists references the Methods still needs that were NOT verified. Do not paste these into a manuscript without checking each one. They are named so you know what to look for.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2. Where each methodological choice actually came from</w:t>
      </w:r>
    </w:p>
    <w:p>
      <w:pPr>
        <w:spacing w:after="140" w:line="300"/>
      </w:pPr>
      <w:r>
        <w:t xml:space="preserve">Nothing in the Methods originates in a published protocol. The table below records the real provenance of each decision, which matters because several are your own and need justifying in the text rather than citing.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Methods section</w:t>
            </w:r>
          </w:p>
        </w:tc>
        <w:tc>
          <w:tcPr>
            <w:tcW w:type="dxa" w:w="67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 Target selection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four stated criteria. Recorded in §2 of the lab record. The ten-candidate comparison table is still missing.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 Dataset curation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ChEMBL practice; the regression-not-classification decision is yours, made before training on the 510/35 imbalance.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2.3 Splitting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Scaffold splitting is standard; the choice of it as primary evaluation is yours.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 Benchmarking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design. The matched-test-set correction (0.467 → 0.510) is your own finding, not a published result.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2.7 Random control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design, including the interleaving and the imputation sensitivity analysis. This is the strongest original element in the paper.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2.8 Water selection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3.5 Å geometric rule, fixed before docking and tested on a second structure. Not taken from any paper.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2.9 Docking protocol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Vina defaults plus your box and exhaustiveness choices. The 24 → 16 Å box reduction is your diagnosis.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2.10 Pose metric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atom-reordering artefact and the two-metric comparison are your own; graph-matching RMSD is standard practice.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2.12 Cross-docking set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filtering rules and exclusion criteria.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2.13 Sampling vs ranking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analysis. Separating sampling from ranking across all nine modes is the paper’s novel structural argument.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2.14 Rotamer analysis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observation across 18 structures.</w:t>
            </w:r>
          </w:p>
        </w:tc>
      </w:tr>
    </w:tbl>
    <w:p>
      <w:pPr>
        <w:pStyle w:val="Heading1"/>
        <w:spacing w:after="160" w:before="320"/>
      </w:pPr>
      <w:r>
        <w:t xml:space="preserve">3. Verified references</w:t>
      </w:r>
    </w:p>
    <w:p>
      <w:pPr>
        <w:spacing w:after="140" w:line="300"/>
      </w:pPr>
      <w:r>
        <w:rPr>
          <w:i/>
          <w:iCs/>
        </w:rPr>
        <w:t xml:space="preserve">Retrieved from PubMed on 16 October 2026. Each entry below was fetched as a PubMed record; the DOI is as PubMed returned it.</w:t>
      </w:r>
    </w:p>
    <w:p>
      <w:pPr>
        <w:pStyle w:val="Heading2"/>
        <w:spacing w:after="120" w:before="260"/>
      </w:pPr>
      <w:r>
        <w:t xml:space="preserve">3.1 Software and databases — cite in §2.2, §2.4, §2.5, §2.9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5810"/>
        <w:gridCol w:w="1800"/>
      </w:tblGrid>
      <w:tr>
        <w:trPr>
          <w:cantSplit/>
          <w:tblHeader/>
        </w:trPr>
        <w:tc>
          <w:tcPr>
            <w:tcW w:type="dxa" w:w="17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58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DOI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AutoDock Vina (original)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Trott O, Olson AJ. AutoDock Vina: improving the speed and accuracy of docking with a new scoring function, efficient optimization, and multithreading. J Comput Chem. 2010;31(2):455–461.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10.1002/jcc.21334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AutoDock Vina 1.2.x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Eberhardt J, Santos-Martins D, Tillack AF, Forli S. AutoDock Vina 1.2.0: New Docking Methods, Expanded Force Field, and Python Bindings. J Chem Inf Model. 2021;61(8):3891–3898.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10.1021/acs.jcim.1c00203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Babel 3.2.1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O’Boyle NM, Banck M, James CA, Morley C, Vandermeersch T, Hutchison GR. Open Babel: An open chemical toolbox. J Cheminform. 2011;3:33.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10.1186/1758-2946-3-33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ChEMBL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Zdrazil B, Felix E, Hunter F, et al. The ChEMBL Database in 2023: a drug discovery platform spanning multiple bioactivity data types and time periods. Nucleic Acids Res. 2024;52(D1):D1180–D1192.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10.1093/nar/gkad1004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ZINC20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Irwin JJ, Tang KG, Young J, et al. ZINC20—A Free Ultralarge-Scale Chemical Database for Ligand Discovery. J Chem Inf Model. 2020;60(12):6065–6073.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10.1021/acs.jcim.0c00675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b/>
          <w:bCs/>
        </w:rPr>
        <w:t xml:space="preserve">Both Vina papers must be cited together — that is what the Vina developers ask for, and you ran 1.2.5.</w:t>
      </w:r>
    </w:p>
    <w:p>
      <w:pPr>
        <w:pStyle w:val="Heading2"/>
        <w:spacing w:after="120" w:before="260"/>
      </w:pPr>
      <w:r>
        <w:t xml:space="preserve">3.2 Cheminformatics methods — cite in §2.2, §2.3, §2.4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5610"/>
        <w:gridCol w:w="1800"/>
      </w:tblGrid>
      <w:tr>
        <w:trPr>
          <w:cantSplit/>
          <w:tblHeader/>
        </w:trPr>
        <w:tc>
          <w:tcPr>
            <w:tcW w:type="dxa" w:w="19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56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DOI</w:t>
            </w:r>
          </w:p>
        </w:tc>
      </w:tr>
      <w:tr>
        <w:trPr>
          <w:cantSplit/>
        </w:trP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Bemis–Murcko scaffolds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Bemis GW, Murcko MA. The properties of known drugs. 1. Molecular frameworks. J Med Chem. 1996;39(15):2887–2893.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10.1021/jm9602928</w:t>
            </w:r>
          </w:p>
        </w:tc>
      </w:tr>
      <w:tr>
        <w:trPr>
          <w:cantSplit/>
        </w:trP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ECFP4 / Morgan fingerprints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Rogers D, Hahn M. Extended-connectivity fingerprints. J Chem Inf Model. 2010;50(5):742–754.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10.1021/ci100050t</w:t>
            </w:r>
          </w:p>
        </w:tc>
      </w:tr>
      <w:tr>
        <w:trPr>
          <w:cantSplit/>
        </w:trP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Chemprop D-MPNN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Yang K, Swanson K, Jin W, et al. Analyzing Learned Molecular Representations for Property Prediction. J Chem Inf Model. 2019;59(8):3370–3388.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10.1021/acs.jcim.9b00237</w:t>
            </w:r>
          </w:p>
        </w:tc>
      </w:tr>
    </w:tbl>
    <w:p>
      <w:pPr>
        <w:pStyle w:val="Heading2"/>
        <w:spacing w:after="120" w:before="260"/>
      </w:pPr>
      <w:r>
        <w:t xml:space="preserve">3.3 Target background — cite in §2.1 and the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cantSplit/>
          <w:tblHeader/>
        </w:trPr>
        <w:tc>
          <w:tcPr>
            <w:tcW w:type="dxa" w:w="22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Claim</w:t>
            </w:r>
          </w:p>
        </w:tc>
        <w:tc>
          <w:tcPr>
            <w:tcW w:type="dxa" w:w="53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DOI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PDD00017273, the first-in-class PARG chemical probe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James DI, Smith KM, Jordan AM, et al. First-in-Class Chemical Probes against Poly(ADP-ribose) Glycohydrolase (PARG) Inhibit DNA Repair with Differential Pharmacology to Olaparib. ACS Chem Biol. 2016;11(11):3179–3190.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10.1021/acschembio.6b00609</w:t>
            </w:r>
          </w:p>
        </w:tc>
      </w:tr>
    </w:tbl>
    <w:p>
      <w:pPr>
        <w:pStyle w:val="Heading1"/>
        <w:spacing w:after="160" w:before="320"/>
      </w:pPr>
      <w:r>
        <w:t xml:space="preserve">4. References still needed — NOT verified</w:t>
      </w:r>
    </w:p>
    <w:p>
      <w:pPr>
        <w:pBdr>
          <w:top w:val="single" w:color="E0A030" w:sz="6"/>
          <w:bottom w:val="single" w:color="E0A030" w:sz="6"/>
          <w:left w:val="single" w:color="E0A030" w:sz="6"/>
          <w:right w:val="single" w:color="E0A030" w:sz="6"/>
        </w:pBdr>
        <w:shd w:fill="FFF4E5" w:val="clear"/>
        <w:spacing w:after="60"/>
        <w:ind w:left="180" w:right="180"/>
      </w:pPr>
      <w:r>
        <w:rPr>
          <w:b/>
          <w:bCs/>
          <w:sz w:val="19"/>
          <w:szCs w:val="19"/>
        </w:rPr>
        <w:t xml:space="preserve">Check every entry in this section before use.</w:t>
      </w:r>
    </w:p>
    <w:p>
      <w:pPr>
        <w:pBdr>
          <w:top w:val="single" w:color="E0A030" w:sz="6"/>
          <w:bottom w:val="single" w:color="E0A030" w:sz="6"/>
          <w:left w:val="single" w:color="E0A030" w:sz="6"/>
          <w:right w:val="single" w:color="E0A030" w:sz="6"/>
        </w:pBdr>
        <w:shd w:fill="FFF4E5" w:val="clear"/>
        <w:spacing w:after="60"/>
        <w:ind w:left="180" w:right="180"/>
      </w:pPr>
      <w:r>
        <w:rPr>
          <w:b w:val="false"/>
          <w:bCs w:val="false"/>
          <w:sz w:val="19"/>
          <w:szCs w:val="19"/>
        </w:rPr>
        <w:t xml:space="preserve">These are named from general knowledge and were not confirmed against a database in this session. Author lists, years, volumes and page numbers may be wrong. A fabricated or mis-stated citation in a submitted manuscript is a serious problem, so treat each line as a search term, not as a reference.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710"/>
        <w:gridCol w:w="2800"/>
      </w:tblGrid>
      <w:tr>
        <w:trPr>
          <w:cantSplit/>
          <w:tblHeader/>
        </w:trPr>
        <w:tc>
          <w:tcPr>
            <w:tcW w:type="dxa" w:w="18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Needed for</w:t>
            </w:r>
          </w:p>
        </w:tc>
        <w:tc>
          <w:tcPr>
            <w:tcW w:type="dxa" w:w="47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to look up</w:t>
            </w:r>
          </w:p>
        </w:tc>
        <w:tc>
          <w:tcPr>
            <w:tcW w:type="dxa" w:w="2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it is not verified here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§2.4 LightGBM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 et al., “LightGBM: A Highly Efficient Gradient Boosting Decision Tree”, NeurIPS 2017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Computer-science venue; not indexed in PubMed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§2.4 Chemprop v2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Heid et al., Chemprop v2 software paper — you ran v2, so the v2 paper belongs alongside Yang 2019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2024–25 record exists but was not confirmed to a final journal citation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§2.2 RDKit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RDKit: Open-source cheminformatics, rdkit.org — cite as software with the version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Software; no canonical paper. Record the version first (still blank in §1 of the record)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§2.12 Kabsch superposition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Kabsch W., Acta Crystallographica 1976 and the 1978 correction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Crystallography venue; not indexed in PubMed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§2.3 Scaffold-split rationale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Wu et al., “MoleculeNet: a benchmark for molecular machine learning”, Chem Sci 2018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retrieved this session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§2.10 The 2 Å criterion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threshold is convention, not a result. Find the docking-validation paper you want to attribute it to, or state it as a stated convention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Widely used without a single agreed origin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§2.1 IDE161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trial NCT05787587 — cite the registry entry directly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Registry record, verify status before submission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Introduction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PARG synthetic lethality and platinum/PARP sensitisation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Multiple candidate sources; choose deliberately</w:t>
            </w:r>
          </w:p>
        </w:tc>
      </w:tr>
    </w:tbl>
    <w:p>
      <w:pPr>
        <w:pStyle w:val="Heading1"/>
        <w:spacing w:after="160" w:before="320"/>
      </w:pPr>
      <w:r>
        <w:t xml:space="preserve">5. Choices that have no citation and must be argued instead</w:t>
      </w:r>
    </w:p>
    <w:p>
      <w:pPr>
        <w:spacing w:after="140" w:line="300"/>
      </w:pPr>
      <w:r>
        <w:t xml:space="preserve">These are not in the literature. Citing something adjacent would misrepresent them. They belong in the text as stated design decisions, with the reasoning given: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67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to say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3.5 Å bridging-water rule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the rule, that it was fixed before any docking, and that it transferred unmodified to 7KG1 giving a different count (4 vs 5). That is the argument against its being fitted.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Regression over classification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the 510/35 imbalance and that the decision preceded training.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Interleaved random control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that interleaving controls for throughput drift over the run.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Imputation sensitivity analysis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that failed dockings are silently excluded from summary statistics and that imputing them at both extremes tests whether the conclusion depends on which compounds failed.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Separating sampling from ranking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that computing RMSD for all nine modes rather than the top-ranked pose alone is what permits the distinction.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sidedness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Whatever you decide, state it. The record currently mixes one- and two-sided without declaring either.</w:t>
            </w:r>
          </w:p>
        </w:tc>
      </w:tr>
    </w:tbl>
    <w:p>
      <w:pPr>
        <w:pStyle w:val="Heading1"/>
        <w:spacing w:after="160" w:before="320"/>
      </w:pPr>
      <w:r>
        <w:t xml:space="preserve">6. One thing to decide before writing the Introduction</w:t>
      </w:r>
    </w:p>
    <w:p>
      <w:pPr>
        <w:spacing w:after="140" w:line="300"/>
      </w:pPr>
      <w:r>
        <w:t xml:space="preserve">The methods are standard; the findings on PARG are not. But the ML results — that a D-MPNN matches nearest-neighbour search, that scaffold splitting degrades performance, that screening hits fall outside the training distribution — are confirmatory of an established literature, not novel. If you cite that literature honestly you are positioning the paper as a replication on a new target, which is defensible but modest. If you lead instead with the PARG structural findings and use the ML result as a methodological caution, the novel part of the work is in front. That is a framing decision, and it determines which papers you cite most prominently.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2026-10-16T07:25:38.146Z</dcterms:created>
  <dcterms:modified xsi:type="dcterms:W3CDTF">2026-10-16T07:25:38.154Z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