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e0lusdrudxn5" w:id="0"/>
      <w:bookmarkEnd w:id="0"/>
      <w:r w:rsidDel="00000000" w:rsidR="00000000" w:rsidRPr="00000000">
        <w:rPr>
          <w:b w:val="1"/>
          <w:sz w:val="34"/>
          <w:szCs w:val="34"/>
          <w:rtl w:val="0"/>
        </w:rPr>
        <w:t xml:space="preserve">Air plane Crash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Air travel has become an integral part of our lives. The air traffic growth is estimated to increase at an annual rate of 5.5%. With such a large system and the number of people opting for this faster mode of transportation, safety concerns become paramount. Most people think of only the aircraft when it comes to travel. But indeed it involves a synergistic and synchronized working of the air operations, air traffic control, crews, airports and weather and security services. To have a closer look at the tragic reality of airplane crashes, my project consists of various different statistics on airplane crashes between 1908 – 2009.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