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C6" w:rsidRDefault="00D9220C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Competition Analysis on P2P Payment Applications </w:t>
      </w:r>
    </w:p>
    <w:p w:rsidR="00EA4AC6" w:rsidRDefault="00EA4AC6">
      <w:pPr>
        <w:pStyle w:val="Default"/>
        <w:spacing w:line="155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A4AC6" w:rsidRDefault="00EA4AC6">
      <w:pPr>
        <w:pStyle w:val="Default"/>
        <w:spacing w:line="155" w:lineRule="atLeas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EA4AC6" w:rsidRDefault="00D9220C">
      <w:pPr>
        <w:pStyle w:val="Default"/>
        <w:spacing w:line="155" w:lineRule="atLeast"/>
        <w:jc w:val="both"/>
        <w:rPr>
          <w:rFonts w:ascii="Times New Roman" w:eastAsia="Times New Roman" w:hAnsi="Times New Roman" w:cs="Times New Roman" w:hint="eastAsia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Market leaders of mobile wall</w:t>
      </w:r>
      <w:r>
        <w:rPr>
          <w:rFonts w:ascii="Times New Roman" w:hAnsi="Times New Roman"/>
          <w:b/>
          <w:bCs/>
          <w:sz w:val="16"/>
          <w:szCs w:val="16"/>
        </w:rPr>
        <w:t>e</w:t>
      </w:r>
      <w:r>
        <w:rPr>
          <w:rFonts w:ascii="Times New Roman" w:hAnsi="Times New Roman"/>
          <w:b/>
          <w:bCs/>
          <w:sz w:val="16"/>
          <w:szCs w:val="16"/>
        </w:rPr>
        <w:t>t</w:t>
      </w:r>
    </w:p>
    <w:tbl>
      <w:tblPr>
        <w:tblpPr w:leftFromText="180" w:rightFromText="180" w:vertAnchor="page" w:horzAnchor="margin" w:tblpY="2261"/>
        <w:tblW w:w="9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0"/>
        <w:gridCol w:w="818"/>
        <w:gridCol w:w="785"/>
        <w:gridCol w:w="762"/>
        <w:gridCol w:w="730"/>
        <w:gridCol w:w="770"/>
        <w:gridCol w:w="705"/>
        <w:gridCol w:w="726"/>
        <w:gridCol w:w="529"/>
        <w:gridCol w:w="562"/>
        <w:gridCol w:w="845"/>
        <w:gridCol w:w="926"/>
        <w:gridCol w:w="729"/>
      </w:tblGrid>
      <w:tr w:rsidR="00EA4AC6" w:rsidTr="00E462AB">
        <w:trPr>
          <w:trHeight w:val="439"/>
          <w:tblHeader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Company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Platform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Business Model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Scope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Context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Proximity/Remote</w:t>
            </w:r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P2P/C2B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Backing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Head office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Scale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Transaction Volume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Instruments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841F61" w:rsidP="00E462AB">
            <w:pPr>
              <w:pStyle w:val="TableStyle1"/>
            </w:pPr>
            <w:r>
              <w:rPr>
                <w:rFonts w:ascii="Times New Roman" w:hAnsi="Times New Roman"/>
                <w:sz w:val="12"/>
                <w:szCs w:val="12"/>
              </w:rPr>
              <w:t>Founded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Alipay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  <w:proofErr w:type="spellEnd"/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Merchant; Fintech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China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NA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2004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Apple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Specific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  <w:proofErr w:type="spellEnd"/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Big </w:t>
            </w:r>
            <w:r>
              <w:rPr>
                <w:rFonts w:ascii="Times New Roman" w:hAnsi="Times New Roman"/>
                <w:sz w:val="12"/>
                <w:szCs w:val="12"/>
              </w:rPr>
              <w:t>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NA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2014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Google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Specific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Data-driven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Online, Mobile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  <w:proofErr w:type="spellEnd"/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Big 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USD 102 </w:t>
            </w: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Bln</w:t>
            </w:r>
            <w:proofErr w:type="spellEnd"/>
            <w:r>
              <w:rPr>
                <w:rFonts w:ascii="Times New Roman" w:hAnsi="Times New Roman"/>
                <w:sz w:val="12"/>
                <w:szCs w:val="12"/>
              </w:rPr>
              <w:t xml:space="preserve"> (2016)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2015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PayPal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3) Bills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  <w:proofErr w:type="spellEnd"/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FinTech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US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USD 578 </w:t>
            </w: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Bln</w:t>
            </w:r>
            <w:proofErr w:type="spellEnd"/>
            <w:r>
              <w:rPr>
                <w:rFonts w:ascii="Times New Roman" w:hAnsi="Times New Roman"/>
                <w:sz w:val="12"/>
                <w:szCs w:val="12"/>
              </w:rPr>
              <w:t xml:space="preserve"> (2019)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Credit Card, Debit Card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1998</w:t>
            </w:r>
          </w:p>
        </w:tc>
      </w:tr>
      <w:tr w:rsidR="00EA4AC6" w:rsidTr="00E462AB">
        <w:tblPrEx>
          <w:shd w:val="clear" w:color="auto" w:fill="auto"/>
        </w:tblPrEx>
        <w:trPr>
          <w:trHeight w:val="439"/>
        </w:trPr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5D5D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r>
              <w:rPr>
                <w:rFonts w:ascii="Times New Roman" w:hAnsi="Times New Roman"/>
                <w:b w:val="0"/>
                <w:bCs w:val="0"/>
                <w:sz w:val="12"/>
                <w:szCs w:val="12"/>
              </w:rPr>
              <w:t>WeChat Pay</w:t>
            </w:r>
          </w:p>
        </w:tc>
        <w:tc>
          <w:tcPr>
            <w:tcW w:w="818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Independent</w:t>
            </w:r>
          </w:p>
        </w:tc>
        <w:tc>
          <w:tcPr>
            <w:tcW w:w="78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Transaction-driven</w:t>
            </w:r>
          </w:p>
        </w:tc>
        <w:tc>
          <w:tcPr>
            <w:tcW w:w="7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2) Loyalty &amp; Marketing</w:t>
            </w:r>
          </w:p>
        </w:tc>
        <w:tc>
          <w:tcPr>
            <w:tcW w:w="73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3) Bills</w:t>
            </w:r>
          </w:p>
        </w:tc>
        <w:tc>
          <w:tcPr>
            <w:tcW w:w="77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Prox+Rem</w:t>
            </w:r>
            <w:proofErr w:type="spellEnd"/>
          </w:p>
        </w:tc>
        <w:tc>
          <w:tcPr>
            <w:tcW w:w="70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P2P+C2B</w:t>
            </w:r>
          </w:p>
        </w:tc>
        <w:tc>
          <w:tcPr>
            <w:tcW w:w="7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FinTech; Big </w:t>
            </w:r>
            <w:r>
              <w:rPr>
                <w:rFonts w:ascii="Times New Roman" w:hAnsi="Times New Roman"/>
                <w:sz w:val="12"/>
                <w:szCs w:val="12"/>
              </w:rPr>
              <w:t>Tech</w:t>
            </w:r>
          </w:p>
        </w:tc>
        <w:tc>
          <w:tcPr>
            <w:tcW w:w="5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China</w:t>
            </w:r>
          </w:p>
        </w:tc>
        <w:tc>
          <w:tcPr>
            <w:tcW w:w="56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Global</w:t>
            </w:r>
          </w:p>
        </w:tc>
        <w:tc>
          <w:tcPr>
            <w:tcW w:w="845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 xml:space="preserve">600 </w:t>
            </w: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Mln</w:t>
            </w:r>
            <w:proofErr w:type="spellEnd"/>
            <w:r>
              <w:rPr>
                <w:rFonts w:ascii="Times New Roman" w:hAnsi="Times New Roman"/>
                <w:sz w:val="12"/>
                <w:szCs w:val="12"/>
              </w:rPr>
              <w:t xml:space="preserve"> users (2018)</w:t>
            </w:r>
          </w:p>
        </w:tc>
        <w:tc>
          <w:tcPr>
            <w:tcW w:w="92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Bank Debit, E-wallet</w:t>
            </w:r>
          </w:p>
        </w:tc>
        <w:tc>
          <w:tcPr>
            <w:tcW w:w="72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A4AC6" w:rsidRDefault="00D9220C" w:rsidP="00E462AB">
            <w:pPr>
              <w:pStyle w:val="TableStyle2"/>
            </w:pPr>
            <w:r>
              <w:rPr>
                <w:rFonts w:ascii="Times New Roman" w:hAnsi="Times New Roman"/>
                <w:sz w:val="12"/>
                <w:szCs w:val="12"/>
              </w:rPr>
              <w:t>2013</w:t>
            </w:r>
          </w:p>
        </w:tc>
      </w:tr>
    </w:tbl>
    <w:p w:rsidR="00E462AB" w:rsidRPr="00E462AB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r>
        <w:rPr>
          <w:rStyle w:val="Hyperlink0"/>
        </w:rPr>
        <w:fldChar w:fldCharType="begin"/>
      </w:r>
      <w:r>
        <w:rPr>
          <w:rStyle w:val="Hyperlink0"/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  <w:instrText xml:space="preserve"> HYPERLINK "https://www.europeanpaymentscouncil.eu/sites/default/files/inline-files/Payment%20Methods%20Report%202019%20-%20Innovations%20in%20the%20Way%20We%20Pay.pdf"</w:instrText>
      </w:r>
      <w:r>
        <w:rPr>
          <w:rStyle w:val="Hyperlink0"/>
        </w:rPr>
        <w:fldChar w:fldCharType="separate"/>
      </w:r>
      <w:r>
        <w:rPr>
          <w:rStyle w:val="Hyperlink0"/>
          <w:rFonts w:ascii="Times New Roman" w:hAnsi="Times New Roman"/>
          <w:color w:val="1D1C1D"/>
          <w:sz w:val="18"/>
          <w:szCs w:val="18"/>
          <w:shd w:val="clear" w:color="auto" w:fill="FFFFFF"/>
        </w:rPr>
        <w:t>(Payment Methods Report 2019)</w:t>
      </w:r>
      <w:r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  <w:fldChar w:fldCharType="end"/>
      </w:r>
    </w:p>
    <w:p w:rsidR="00E462AB" w:rsidRDefault="00E462AB">
      <w:pPr>
        <w:pStyle w:val="Default"/>
        <w:spacing w:line="340" w:lineRule="atLeast"/>
        <w:rPr>
          <w:rFonts w:ascii="Times New Roman" w:hAnsi="Times New Roman"/>
          <w:color w:val="1D1C1D"/>
          <w:sz w:val="18"/>
          <w:szCs w:val="18"/>
          <w:shd w:val="clear" w:color="auto" w:fill="FFFFFF"/>
        </w:rPr>
      </w:pPr>
    </w:p>
    <w:p w:rsidR="00EA4AC6" w:rsidRPr="00E462AB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Here we are making </w:t>
      </w:r>
      <w:r>
        <w:rPr>
          <w:rFonts w:ascii="Times New Roman" w:hAnsi="Times New Roman"/>
          <w:b/>
          <w:bCs/>
          <w:color w:val="1D1C1D"/>
          <w:sz w:val="18"/>
          <w:szCs w:val="18"/>
          <w:shd w:val="clear" w:color="auto" w:fill="FFFFFF"/>
        </w:rPr>
        <w:t>PayPal</w:t>
      </w: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 as our benchmark as we only have access to its quarterly updates on global operational performance.</w:t>
      </w:r>
    </w:p>
    <w:tbl>
      <w:tblPr>
        <w:tblpPr w:leftFromText="180" w:rightFromText="180" w:vertAnchor="text" w:horzAnchor="margin" w:tblpY="78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4"/>
        <w:gridCol w:w="1474"/>
        <w:gridCol w:w="1276"/>
        <w:gridCol w:w="1569"/>
        <w:gridCol w:w="1682"/>
        <w:gridCol w:w="1327"/>
        <w:gridCol w:w="1340"/>
      </w:tblGrid>
      <w:tr w:rsidR="00E462AB" w:rsidRPr="00E462AB" w:rsidTr="00E462AB">
        <w:trPr>
          <w:trHeight w:val="363"/>
          <w:tblHeader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Quarter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Total Payment Volume($B)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Active Accounts(M)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Net New Active Accounts(M)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Transactions /active account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Revenue($B)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Free Cash Flow($M)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Q4-2018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164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267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10.9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36.9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4.23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910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Q1-2019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161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277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9.3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37.9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4.13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809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Q2-2019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172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286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9.0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39.0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4.31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1035</w:t>
            </w:r>
          </w:p>
        </w:tc>
      </w:tr>
      <w:tr w:rsidR="00E462AB" w:rsidRPr="00E462AB" w:rsidTr="00E462AB">
        <w:tblPrEx>
          <w:shd w:val="clear" w:color="auto" w:fill="auto"/>
        </w:tblPrEx>
        <w:trPr>
          <w:trHeight w:val="295"/>
        </w:trPr>
        <w:tc>
          <w:tcPr>
            <w:tcW w:w="96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1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Q3-2019</w:t>
            </w:r>
          </w:p>
        </w:tc>
        <w:tc>
          <w:tcPr>
            <w:tcW w:w="147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179</w:t>
            </w:r>
          </w:p>
        </w:tc>
        <w:tc>
          <w:tcPr>
            <w:tcW w:w="1276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295</w:t>
            </w:r>
          </w:p>
        </w:tc>
        <w:tc>
          <w:tcPr>
            <w:tcW w:w="1569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9.8</w:t>
            </w:r>
          </w:p>
        </w:tc>
        <w:tc>
          <w:tcPr>
            <w:tcW w:w="168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39.8</w:t>
            </w:r>
          </w:p>
        </w:tc>
        <w:tc>
          <w:tcPr>
            <w:tcW w:w="1327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Default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4.38</w:t>
            </w:r>
          </w:p>
        </w:tc>
        <w:tc>
          <w:tcPr>
            <w:tcW w:w="1340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62AB" w:rsidRPr="00E462AB" w:rsidRDefault="00E462AB" w:rsidP="00E462AB">
            <w:pPr>
              <w:pStyle w:val="TableStyle2"/>
              <w:rPr>
                <w:sz w:val="15"/>
                <w:szCs w:val="15"/>
              </w:rPr>
            </w:pPr>
            <w:r w:rsidRPr="00E462AB">
              <w:rPr>
                <w:rFonts w:ascii="Times New Roman" w:hAnsi="Times New Roman"/>
                <w:sz w:val="15"/>
                <w:szCs w:val="15"/>
              </w:rPr>
              <w:t>923</w:t>
            </w:r>
          </w:p>
        </w:tc>
      </w:tr>
    </w:tbl>
    <w:p w:rsidR="00E462AB" w:rsidRPr="00E462AB" w:rsidRDefault="00E462AB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 xml:space="preserve"> </w:t>
      </w:r>
      <w:r w:rsidR="00D9220C"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>(</w:t>
      </w:r>
      <w:hyperlink r:id="rId7" w:history="1">
        <w:r w:rsidR="00D9220C">
          <w:rPr>
            <w:rStyle w:val="Hyperlink0"/>
            <w:rFonts w:ascii="Times New Roman" w:hAnsi="Times New Roman"/>
            <w:color w:val="1D1C1D"/>
            <w:sz w:val="18"/>
            <w:szCs w:val="18"/>
            <w:shd w:val="clear" w:color="auto" w:fill="FFFFFF"/>
          </w:rPr>
          <w:t>PayPal Q3-19 Investor Update October 23, 2019</w:t>
        </w:r>
      </w:hyperlink>
      <w:r w:rsidR="00D9220C">
        <w:rPr>
          <w:rFonts w:ascii="Times New Roman" w:hAnsi="Times New Roman"/>
          <w:color w:val="1D1C1D"/>
          <w:sz w:val="18"/>
          <w:szCs w:val="18"/>
          <w:shd w:val="clear" w:color="auto" w:fill="FFFFFF"/>
        </w:rPr>
        <w:t>)</w:t>
      </w:r>
    </w:p>
    <w:p w:rsidR="00E14772" w:rsidRDefault="00E14772">
      <w:pPr>
        <w:pStyle w:val="Default"/>
        <w:spacing w:line="340" w:lineRule="atLeast"/>
        <w:rPr>
          <w:rFonts w:ascii="Times New Roman" w:hAnsi="Times New Roman"/>
          <w:b/>
          <w:bCs/>
          <w:color w:val="1D1C1D"/>
          <w:sz w:val="18"/>
          <w:szCs w:val="18"/>
        </w:rPr>
      </w:pPr>
    </w:p>
    <w:p w:rsidR="00EA4AC6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Market leaders: Google Pay / PayPal </w:t>
      </w:r>
    </w:p>
    <w:p w:rsidR="00EA4AC6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Ledger apps: </w:t>
      </w:r>
      <w:proofErr w:type="spellStart"/>
      <w:r>
        <w:rPr>
          <w:rFonts w:ascii="Times New Roman" w:hAnsi="Times New Roman"/>
          <w:b/>
          <w:bCs/>
          <w:color w:val="1D1C1D"/>
          <w:sz w:val="18"/>
          <w:szCs w:val="18"/>
        </w:rPr>
        <w:t>Splitwise</w:t>
      </w:r>
      <w:proofErr w:type="spellEnd"/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 / </w:t>
      </w:r>
      <w:proofErr w:type="spellStart"/>
      <w:r>
        <w:rPr>
          <w:rFonts w:ascii="Times New Roman" w:hAnsi="Times New Roman"/>
          <w:b/>
          <w:bCs/>
          <w:color w:val="1D1C1D"/>
          <w:sz w:val="18"/>
          <w:szCs w:val="18"/>
        </w:rPr>
        <w:t>Tricount</w:t>
      </w:r>
      <w:proofErr w:type="spellEnd"/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 / </w:t>
      </w:r>
      <w:proofErr w:type="spellStart"/>
      <w:r>
        <w:rPr>
          <w:rFonts w:ascii="Times New Roman" w:hAnsi="Times New Roman"/>
          <w:b/>
          <w:bCs/>
          <w:color w:val="1D1C1D"/>
          <w:sz w:val="18"/>
          <w:szCs w:val="18"/>
        </w:rPr>
        <w:t>Splid</w:t>
      </w:r>
      <w:proofErr w:type="spellEnd"/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 / Settle up / </w:t>
      </w:r>
      <w:proofErr w:type="spellStart"/>
      <w:r>
        <w:rPr>
          <w:rFonts w:ascii="Times New Roman" w:hAnsi="Times New Roman"/>
          <w:b/>
          <w:bCs/>
          <w:color w:val="1D1C1D"/>
          <w:sz w:val="18"/>
          <w:szCs w:val="18"/>
        </w:rPr>
        <w:t>Acasa</w:t>
      </w:r>
      <w:proofErr w:type="spellEnd"/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 (data </w:t>
      </w:r>
      <w:r>
        <w:rPr>
          <w:rFonts w:ascii="Times New Roman" w:hAnsi="Times New Roman"/>
          <w:b/>
          <w:bCs/>
          <w:color w:val="1D1C1D"/>
          <w:sz w:val="18"/>
          <w:szCs w:val="18"/>
        </w:rPr>
        <w:t>not found)</w:t>
      </w:r>
    </w:p>
    <w:p w:rsidR="00EA4AC6" w:rsidRPr="00E462AB" w:rsidRDefault="00D9220C" w:rsidP="003D7149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Metrics: </w:t>
      </w:r>
      <w:r w:rsidR="00E462AB"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  <w:t xml:space="preserve"> - </w:t>
      </w:r>
      <w:r>
        <w:rPr>
          <w:rFonts w:ascii="Times New Roman" w:hAnsi="Times New Roman"/>
          <w:b/>
          <w:bCs/>
          <w:color w:val="1D1C1D"/>
          <w:sz w:val="18"/>
          <w:szCs w:val="18"/>
        </w:rPr>
        <w:t>AVG Monthly Downloads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Daily Active Users: unique daily active users (Average)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  <w:t>Open Rate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: the percentage of the Install Base that open the app daily (Average)</w:t>
      </w:r>
    </w:p>
    <w:p w:rsidR="00EA4AC6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  <w:lang w:val="it-IT"/>
        </w:rPr>
      </w:pPr>
      <w:r>
        <w:rPr>
          <w:rFonts w:ascii="Times New Roman" w:hAnsi="Times New Roman"/>
          <w:b/>
          <w:bCs/>
          <w:color w:val="1D1C1D"/>
          <w:sz w:val="18"/>
          <w:szCs w:val="18"/>
          <w:lang w:val="de-DE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  <w:lang w:val="it-IT"/>
        </w:rPr>
        <w:t>Time per User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 xml:space="preserve">: daily time spent in the app per active user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(Average)</w:t>
      </w:r>
    </w:p>
    <w:p w:rsidR="00E462AB" w:rsidRPr="00E462AB" w:rsidRDefault="00E462AB" w:rsidP="003D7149">
      <w:pPr>
        <w:pStyle w:val="Default"/>
        <w:spacing w:line="360" w:lineRule="auto"/>
        <w:ind w:left="737"/>
        <w:rPr>
          <w:rFonts w:ascii="Times New Roman" w:hAnsi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 xml:space="preserve">- </w:t>
      </w:r>
      <w:r w:rsidR="00D9220C">
        <w:rPr>
          <w:rFonts w:ascii="Times New Roman" w:hAnsi="Times New Roman"/>
          <w:b/>
          <w:bCs/>
          <w:color w:val="1D1C1D"/>
          <w:sz w:val="18"/>
          <w:szCs w:val="18"/>
        </w:rPr>
        <w:t>Sessions per User: daily number of sessions per active user (Average)</w:t>
      </w:r>
      <w:bookmarkStart w:id="0" w:name="_GoBack"/>
      <w:bookmarkEnd w:id="0"/>
    </w:p>
    <w:p w:rsidR="00E462AB" w:rsidRDefault="00E462AB">
      <w:pPr>
        <w:pStyle w:val="Default"/>
        <w:spacing w:line="340" w:lineRule="atLeast"/>
        <w:rPr>
          <w:rFonts w:ascii="Times New Roman" w:hAnsi="Times New Roman"/>
          <w:b/>
          <w:bCs/>
          <w:color w:val="1D1C1D"/>
          <w:sz w:val="18"/>
          <w:szCs w:val="18"/>
        </w:rPr>
      </w:pPr>
    </w:p>
    <w:p w:rsidR="00EA4AC6" w:rsidRDefault="00D9220C">
      <w:pPr>
        <w:pStyle w:val="Default"/>
        <w:spacing w:line="340" w:lineRule="atLeast"/>
        <w:rPr>
          <w:rFonts w:ascii="Times New Roman" w:eastAsia="Times New Roman" w:hAnsi="Times New Roman" w:cs="Times New Roman"/>
          <w:b/>
          <w:bCs/>
          <w:color w:val="1D1C1D"/>
          <w:sz w:val="18"/>
          <w:szCs w:val="18"/>
        </w:rPr>
      </w:pPr>
      <w:r>
        <w:rPr>
          <w:rFonts w:ascii="Times New Roman" w:hAnsi="Times New Roman"/>
          <w:b/>
          <w:bCs/>
          <w:color w:val="1D1C1D"/>
          <w:sz w:val="18"/>
          <w:szCs w:val="18"/>
        </w:rPr>
        <w:t>October 2019 Performance (in Italy, Google Play)</w:t>
      </w:r>
    </w:p>
    <w:tbl>
      <w:tblPr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993"/>
        <w:gridCol w:w="1643"/>
        <w:gridCol w:w="1233"/>
        <w:gridCol w:w="1541"/>
        <w:gridCol w:w="1602"/>
      </w:tblGrid>
      <w:tr w:rsidR="00EA4AC6">
        <w:trPr>
          <w:trHeight w:val="295"/>
          <w:tblHeader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Google Play Apps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AVG Monthly Downloads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Daily Active Users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Open Rate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Time per User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D6D5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Sessions per User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Pr="00E462AB" w:rsidRDefault="00D9220C" w:rsidP="00E462AB">
            <w:pPr>
              <w:pStyle w:val="TableStyle1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E462AB">
              <w:rPr>
                <w:rFonts w:ascii="Times New Roman" w:hAnsi="Times New Roman"/>
                <w:sz w:val="16"/>
                <w:szCs w:val="16"/>
              </w:rPr>
              <w:t>Splitwise</w:t>
            </w:r>
            <w:proofErr w:type="spellEnd"/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14.6K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9.66K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4.78%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00:01:03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2.15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 w:rsidP="00E462AB">
            <w:pPr>
              <w:pStyle w:val="TableStyle1"/>
            </w:pPr>
            <w:proofErr w:type="spellStart"/>
            <w:r w:rsidRPr="00E462AB">
              <w:rPr>
                <w:rFonts w:ascii="Times New Roman" w:hAnsi="Times New Roman"/>
                <w:sz w:val="16"/>
                <w:szCs w:val="16"/>
              </w:rPr>
              <w:t>Tricount</w:t>
            </w:r>
            <w:proofErr w:type="spellEnd"/>
            <w:r w:rsidRPr="00E462AB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5.6K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1.76K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2.47%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00:04:33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6.31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Splid</w:t>
            </w:r>
            <w:proofErr w:type="spellEnd"/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4.8K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810.06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1.8%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00:07:42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2.9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Settle up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2.1K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605.76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1.43%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00:07:35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Google Pay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124.4K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9.51K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0.44%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00:01:32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1.65</w:t>
            </w:r>
          </w:p>
        </w:tc>
      </w:tr>
      <w:tr w:rsidR="00EA4AC6">
        <w:tblPrEx>
          <w:shd w:val="clear" w:color="auto" w:fill="auto"/>
        </w:tblPrEx>
        <w:trPr>
          <w:trHeight w:val="295"/>
        </w:trPr>
        <w:tc>
          <w:tcPr>
            <w:tcW w:w="1604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1"/>
            </w:pPr>
            <w:r>
              <w:rPr>
                <w:rFonts w:ascii="Times New Roman" w:hAnsi="Times New Roman"/>
                <w:sz w:val="16"/>
                <w:szCs w:val="16"/>
              </w:rPr>
              <w:t>PayPal</w:t>
            </w:r>
          </w:p>
        </w:tc>
        <w:tc>
          <w:tcPr>
            <w:tcW w:w="199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173.7K</w:t>
            </w:r>
          </w:p>
        </w:tc>
        <w:tc>
          <w:tcPr>
            <w:tcW w:w="164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42.31K</w:t>
            </w:r>
          </w:p>
        </w:tc>
        <w:tc>
          <w:tcPr>
            <w:tcW w:w="1233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1.22%</w:t>
            </w:r>
          </w:p>
        </w:tc>
        <w:tc>
          <w:tcPr>
            <w:tcW w:w="1541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00:03:51</w:t>
            </w:r>
          </w:p>
        </w:tc>
        <w:tc>
          <w:tcPr>
            <w:tcW w:w="1602" w:type="dxa"/>
            <w:tcBorders>
              <w:top w:val="single" w:sz="4" w:space="0" w:color="919191"/>
              <w:left w:val="single" w:sz="4" w:space="0" w:color="919191"/>
              <w:bottom w:val="single" w:sz="4" w:space="0" w:color="919191"/>
              <w:right w:val="single" w:sz="4" w:space="0" w:color="91919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4AC6" w:rsidRDefault="00D9220C">
            <w:pPr>
              <w:pStyle w:val="TableStyle2"/>
            </w:pPr>
            <w:r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</w:tbl>
    <w:p w:rsidR="00E462AB" w:rsidRPr="00E462AB" w:rsidRDefault="00D9220C" w:rsidP="00E462AB">
      <w:pPr>
        <w:pStyle w:val="Default"/>
        <w:spacing w:line="340" w:lineRule="atLeast"/>
        <w:rPr>
          <w:rFonts w:ascii="Times New Roman" w:eastAsia="Times New Roman" w:hAnsi="Times New Roman" w:cs="Times New Roman"/>
          <w:color w:val="1D1C1D"/>
          <w:sz w:val="18"/>
          <w:szCs w:val="18"/>
        </w:rPr>
      </w:pPr>
      <w:r>
        <w:rPr>
          <w:rFonts w:ascii="Times New Roman" w:hAnsi="Times New Roman"/>
          <w:color w:val="1D1C1D"/>
          <w:sz w:val="18"/>
          <w:szCs w:val="18"/>
        </w:rPr>
        <w:t>(</w:t>
      </w:r>
      <w:hyperlink r:id="rId8" w:history="1">
        <w:r>
          <w:rPr>
            <w:rStyle w:val="Hyperlink0"/>
            <w:rFonts w:ascii="Times New Roman" w:hAnsi="Times New Roman"/>
            <w:color w:val="1D1C1D"/>
            <w:sz w:val="18"/>
            <w:szCs w:val="18"/>
          </w:rPr>
          <w:t>https://pro.similarweb.com/#/apps/performance</w:t>
        </w:r>
      </w:hyperlink>
      <w:r>
        <w:rPr>
          <w:rFonts w:ascii="Times New Roman" w:hAnsi="Times New Roman"/>
          <w:color w:val="1D1C1D"/>
          <w:sz w:val="18"/>
          <w:szCs w:val="18"/>
        </w:rPr>
        <w:t>/)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 xml:space="preserve">(e.g. </w:t>
      </w:r>
      <w:proofErr w:type="spellStart"/>
      <w:r>
        <w:rPr>
          <w:rFonts w:ascii="Times New Roman" w:hAnsi="Times New Roman"/>
          <w:sz w:val="18"/>
          <w:szCs w:val="18"/>
        </w:rPr>
        <w:t>Splitwise</w:t>
      </w:r>
      <w:proofErr w:type="spellEnd"/>
      <w:r>
        <w:rPr>
          <w:rFonts w:ascii="Times New Roman" w:hAnsi="Times New Roman"/>
          <w:sz w:val="18"/>
          <w:szCs w:val="18"/>
        </w:rPr>
        <w:t>)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Our mission is to reduce the stress and awkwardness that money places on our most important relationships.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Splitwise</w:t>
      </w:r>
      <w:proofErr w:type="spellEnd"/>
      <w:r>
        <w:rPr>
          <w:rFonts w:ascii="Times New Roman" w:hAnsi="Times New Roman"/>
          <w:sz w:val="18"/>
          <w:szCs w:val="18"/>
        </w:rPr>
        <w:t xml:space="preserve"> is great for: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Roommates splitting rent and apartment bills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Group trips around the world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Splitting a vacation house for skiing or at the beach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Weddings and bachelor/bachelorette parties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Couples sharing relationship costs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- Friends and co-workers who go out </w:t>
      </w:r>
      <w:r>
        <w:rPr>
          <w:rFonts w:ascii="Times New Roman" w:hAnsi="Times New Roman"/>
          <w:sz w:val="18"/>
          <w:szCs w:val="18"/>
        </w:rPr>
        <w:t>to lunch or dinner together frequently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Loans and IOUs between friends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And so much more</w:t>
      </w:r>
    </w:p>
    <w:p w:rsidR="00EA4AC6" w:rsidRDefault="00EA4AC6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Splitwise</w:t>
      </w:r>
      <w:proofErr w:type="spellEnd"/>
      <w:r>
        <w:rPr>
          <w:rFonts w:ascii="Times New Roman" w:hAnsi="Times New Roman"/>
          <w:sz w:val="18"/>
          <w:szCs w:val="18"/>
        </w:rPr>
        <w:t xml:space="preserve"> is simple to use: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Create groups or private friendships for any splitting situation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- Add expenses, IOUs, or informal debts in any currency, with </w:t>
      </w:r>
      <w:r>
        <w:rPr>
          <w:rFonts w:ascii="Times New Roman" w:hAnsi="Times New Roman"/>
          <w:sz w:val="18"/>
          <w:szCs w:val="18"/>
        </w:rPr>
        <w:t>support for offline entry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Expenses are backed up online so everyone can log in, view their balances, and add expenses</w:t>
      </w: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- Keep track of who should pay next, or settle up by recording cash payments or using our integrations</w:t>
      </w:r>
    </w:p>
    <w:p w:rsidR="00EA4AC6" w:rsidRDefault="00EA4AC6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EA4AC6" w:rsidRDefault="00D9220C">
      <w:pPr>
        <w:pStyle w:val="Default"/>
        <w:spacing w:line="300" w:lineRule="atLeas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We also have powerful features t</w:t>
      </w:r>
      <w:r>
        <w:rPr>
          <w:rFonts w:ascii="Times New Roman" w:hAnsi="Times New Roman"/>
          <w:sz w:val="18"/>
          <w:szCs w:val="18"/>
        </w:rPr>
        <w:t>hat can handle almost any money sharing situation. Here are some of our industry-leading features: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Multi-platform support for smartphones and web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Simplify debts into the easiest repayment plan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Expense categorization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Calculate group totals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Export to CSV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</w:t>
      </w:r>
      <w:r>
        <w:rPr>
          <w:rFonts w:ascii="Times New Roman" w:hAnsi="Times New Roman"/>
          <w:sz w:val="18"/>
          <w:szCs w:val="18"/>
        </w:rPr>
        <w:t>ment directly on expenses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Split expenses equally or unequally by percentages, shares, or exact amounts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Add informal debts and IOUs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Create bills that </w:t>
      </w:r>
      <w:proofErr w:type="spellStart"/>
      <w:r>
        <w:rPr>
          <w:rFonts w:ascii="Times New Roman" w:hAnsi="Times New Roman"/>
          <w:sz w:val="18"/>
          <w:szCs w:val="18"/>
        </w:rPr>
        <w:t>reccur</w:t>
      </w:r>
      <w:proofErr w:type="spellEnd"/>
      <w:r>
        <w:rPr>
          <w:rFonts w:ascii="Times New Roman" w:hAnsi="Times New Roman"/>
          <w:sz w:val="18"/>
          <w:szCs w:val="18"/>
        </w:rPr>
        <w:t xml:space="preserve"> monthly, weekly, yearly, fortnightly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Add multiple payers on a single expense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See total balances with</w:t>
      </w:r>
      <w:r>
        <w:rPr>
          <w:rFonts w:ascii="Times New Roman" w:hAnsi="Times New Roman"/>
          <w:sz w:val="18"/>
          <w:szCs w:val="18"/>
        </w:rPr>
        <w:t xml:space="preserve"> a person across multiple groups and private expenses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Custom user avatars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Cover photos for groups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Activity feed and push notifications help you stay on top of changes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View your edit history for changes to an expense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Any deleted group or bill can be restore</w:t>
      </w:r>
      <w:r>
        <w:rPr>
          <w:rFonts w:ascii="Times New Roman" w:hAnsi="Times New Roman"/>
          <w:sz w:val="18"/>
          <w:szCs w:val="18"/>
        </w:rPr>
        <w:t>d easily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World-class customer support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Pay back using our integrated payments: Venmo and PayPal (US only), Paytm (India only)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100+ currencies and growing</w:t>
      </w:r>
    </w:p>
    <w:p w:rsidR="00EA4AC6" w:rsidRDefault="00D9220C">
      <w:pPr>
        <w:pStyle w:val="Default"/>
        <w:numPr>
          <w:ilvl w:val="0"/>
          <w:numId w:val="3"/>
        </w:numPr>
        <w:spacing w:line="3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7+ supported languages</w:t>
      </w:r>
    </w:p>
    <w:sectPr w:rsidR="00EA4AC6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20C" w:rsidRDefault="00D9220C">
      <w:r>
        <w:separator/>
      </w:r>
    </w:p>
  </w:endnote>
  <w:endnote w:type="continuationSeparator" w:id="0">
    <w:p w:rsidR="00D9220C" w:rsidRDefault="00D9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C6" w:rsidRDefault="00EA4A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20C" w:rsidRDefault="00D9220C">
      <w:r>
        <w:separator/>
      </w:r>
    </w:p>
  </w:footnote>
  <w:footnote w:type="continuationSeparator" w:id="0">
    <w:p w:rsidR="00D9220C" w:rsidRDefault="00D92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AC6" w:rsidRDefault="00EA4A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056F"/>
    <w:multiLevelType w:val="hybridMultilevel"/>
    <w:tmpl w:val="0688F196"/>
    <w:numStyleLink w:val="Dash"/>
  </w:abstractNum>
  <w:abstractNum w:abstractNumId="1" w15:restartNumberingAfterBreak="0">
    <w:nsid w:val="443609D3"/>
    <w:multiLevelType w:val="hybridMultilevel"/>
    <w:tmpl w:val="0688F196"/>
    <w:styleLink w:val="Dash"/>
    <w:lvl w:ilvl="0" w:tplc="D004B61E">
      <w:start w:val="1"/>
      <w:numFmt w:val="bullet"/>
      <w:lvlText w:val="-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2B50133A">
      <w:start w:val="1"/>
      <w:numFmt w:val="bullet"/>
      <w:lvlText w:val="-"/>
      <w:lvlJc w:val="left"/>
      <w:pPr>
        <w:ind w:left="4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EACA0DB6">
      <w:start w:val="1"/>
      <w:numFmt w:val="bullet"/>
      <w:lvlText w:val="-"/>
      <w:lvlJc w:val="left"/>
      <w:pPr>
        <w:ind w:left="6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68D057EC">
      <w:start w:val="1"/>
      <w:numFmt w:val="bullet"/>
      <w:lvlText w:val="-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499EC9B2">
      <w:start w:val="1"/>
      <w:numFmt w:val="bullet"/>
      <w:lvlText w:val="-"/>
      <w:lvlJc w:val="left"/>
      <w:pPr>
        <w:ind w:left="11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6B483922">
      <w:start w:val="1"/>
      <w:numFmt w:val="bullet"/>
      <w:lvlText w:val="-"/>
      <w:lvlJc w:val="left"/>
      <w:pPr>
        <w:ind w:left="13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4B403472">
      <w:start w:val="1"/>
      <w:numFmt w:val="bullet"/>
      <w:lvlText w:val="-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479A32D0">
      <w:start w:val="1"/>
      <w:numFmt w:val="bullet"/>
      <w:lvlText w:val="-"/>
      <w:lvlJc w:val="left"/>
      <w:pPr>
        <w:ind w:left="18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D4823FF4">
      <w:start w:val="1"/>
      <w:numFmt w:val="bullet"/>
      <w:lvlText w:val="-"/>
      <w:lvlJc w:val="left"/>
      <w:pPr>
        <w:ind w:left="21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9C5287C0">
        <w:start w:val="1"/>
        <w:numFmt w:val="bullet"/>
        <w:lvlText w:val="-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75F0D390">
        <w:start w:val="1"/>
        <w:numFmt w:val="bullet"/>
        <w:lvlText w:val="-"/>
        <w:lvlJc w:val="left"/>
        <w:pPr>
          <w:ind w:left="4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EBEA19D4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556698B6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115C5F58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2E608E96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B0426E58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8402D03C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28AA6C12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C6"/>
    <w:rsid w:val="003D7149"/>
    <w:rsid w:val="00841F61"/>
    <w:rsid w:val="00D9220C"/>
    <w:rsid w:val="00E14772"/>
    <w:rsid w:val="00E462AB"/>
    <w:rsid w:val="00E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85D15"/>
  <w15:docId w15:val="{29A9A9A4-46B3-AA4D-BCA5-41E1121F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similarweb.com/#/apps/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vestor.paypal-corp.com/static-files/8c4caf1a-0f90-4184-8b5a-56fa8315e9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叶 炜婷</cp:lastModifiedBy>
  <cp:revision>4</cp:revision>
  <dcterms:created xsi:type="dcterms:W3CDTF">2019-12-01T18:50:00Z</dcterms:created>
  <dcterms:modified xsi:type="dcterms:W3CDTF">2019-12-01T19:02:00Z</dcterms:modified>
</cp:coreProperties>
</file>