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Autorizacija registrovanog korisnika i administratora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prepravka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autorizovanju registrovanog korisnika ili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Korisnici koji imaju registrovan nalog (koji može biti i administratorski) se mogu ulogovati na sajt pomoću korisničkog imena i lozinke.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 Unosi se postojeće korisničko ime i lozinka koja ide uz njega.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određena polja se unose korisničko ime i lozinka.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Nastavlja se sa loginovanjem klikom na Log In dugme.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Korisnik se prebacuje na glavnu stranu.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2.2.2 Unosi se postojeće korisničko ime i lozinka koja ide uz njega.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 određena polja se unose korisničko ime i lozinka.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Nastavlja se sa loginovanjem klikom na određeno dugme.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Pojavljuje se poruka da je autorizacija neuspešna.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Da bi se uspešno ulogovao, korisnik mora imati prethodno registrovan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Ostvaruje se trenutna sesija sa autorizovanim korisnikom i serverom, i dodeljuju mu se određena prava.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