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pBdr>
          <w:bottom w:val="single" w:sz="12" w:color="0B1726"/>
        </w:pBdr>
      </w:pPr>
      <w:r>
        <w:rPr>
          <w:b/>
          <w:color w:val="0B1726"/>
          <w:sz w:val="40"/>
        </w:rPr>
        <w:t>LG-INPC-07 — Inpatient Carmel GBP Q&amp;A Audit + Answer Plan</w:t>
      </w:r>
    </w:p>
    <w:p>
      <w:pPr>
        <w:spacing w:before="0" w:after="80"/>
      </w:pPr>
      <w:r>
        <w:rPr>
          <w:b/>
          <w:sz w:val="22"/>
        </w:rPr>
        <w:t>Pin:</w:t>
      </w:r>
      <w:r>
        <w:rPr>
          <w:sz w:val="22"/>
        </w:rPr>
        <w:t xml:space="preserve"> Arms Acres: Inpatient Addiction Treatment (75 Seminary Hill Rd, Carmel Hamlet NY) — CID </w:t>
      </w:r>
      <w:r>
        <w:rPr>
          <w:rFonts w:ascii="Consolas" w:hAnsi="Consolas"/>
          <w:sz w:val="22"/>
        </w:rPr>
        <w:t>10840547547406958070</w:t>
      </w:r>
    </w:p>
    <w:p>
      <w:pPr>
        <w:spacing w:before="0" w:after="80"/>
      </w:pPr>
      <w:r>
        <w:rPr>
          <w:b/>
          <w:sz w:val="22"/>
        </w:rPr>
        <w:t>Pulled via:</w:t>
      </w:r>
      <w:r>
        <w:rPr>
          <w:sz w:val="22"/>
        </w:rPr>
        <w:t xml:space="preserve"> public-side GBP profile scrape (DataForSEO Business Data, 2026-05-12). These questions are publicly visible to any Maps user viewing the GBP profile. If you can't find them in GBP Manager, check the "Q&amp;A" section under the People tab — they exist on the public profile.</w:t>
      </w:r>
    </w:p>
    <w:p>
      <w:pPr>
        <w:spacing w:before="0" w:after="80"/>
      </w:pPr>
      <w:r>
        <w:rPr>
          <w:b/>
          <w:sz w:val="22"/>
        </w:rPr>
        <w:t>Status today:</w:t>
      </w:r>
      <w:r>
        <w:rPr>
          <w:sz w:val="22"/>
        </w:rPr>
        <w:t xml:space="preserve"> 25 captured Q&amp;As · 0 owner-answered · 0 owner-replies marked</w:t>
      </w:r>
    </w:p>
    <w:p>
      <w:pPr>
        <w:spacing w:before="160" w:after="160"/>
        <w:pBdr>
          <w:bottom w:val="single" w:sz="6" w:color="CCCCCC"/>
        </w:pBdr>
      </w:pPr>
    </w:p>
    <w:p>
      <w:pPr>
        <w:spacing w:before="280" w:after="80"/>
      </w:pPr>
      <w:r>
        <w:rPr>
          <w:b/>
          <w:color w:val="0B1726"/>
          <w:sz w:val="30"/>
        </w:rPr>
        <w:t>The 25 questions, ordered by recommended answer priority</w:t>
      </w:r>
    </w:p>
    <w:p>
      <w:pPr>
        <w:spacing w:before="0" w:after="80"/>
      </w:pPr>
      <w:r>
        <w:rPr>
          <w:sz w:val="22"/>
        </w:rPr>
        <w:t>Priority logic: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b/>
          <w:sz w:val="21"/>
        </w:rPr>
        <w:t>P0</w:t>
      </w:r>
      <w:r>
        <w:rPr>
          <w:sz w:val="21"/>
        </w:rPr>
        <w:t xml:space="preserve"> — High-intent + recoverable (patient/family decision moment). Answer first.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b/>
          <w:sz w:val="21"/>
        </w:rPr>
        <w:t>P1</w:t>
      </w:r>
      <w:r>
        <w:rPr>
          <w:sz w:val="21"/>
        </w:rPr>
        <w:t xml:space="preserve"> — Practical questions (visiting, what to bring). Easy wins.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b/>
          <w:sz w:val="21"/>
        </w:rPr>
        <w:t>P2</w:t>
      </w:r>
      <w:r>
        <w:rPr>
          <w:sz w:val="21"/>
        </w:rPr>
        <w:t xml:space="preserve"> — Sensitive/admin (smoking, dating staff). Answer carefully.</w:t>
      </w:r>
    </w:p>
    <w:p>
      <w:pPr>
        <w:spacing w:after="40"/>
        <w:ind w:left="340" w:hanging="227"/>
      </w:pPr>
      <w:r>
        <w:rPr>
          <w:sz w:val="21"/>
        </w:rPr>
        <w:t xml:space="preserve">• </w:t>
      </w:r>
      <w:r>
        <w:rPr>
          <w:b/>
          <w:sz w:val="21"/>
        </w:rPr>
        <w:t>P3</w:t>
      </w:r>
      <w:r>
        <w:rPr>
          <w:sz w:val="21"/>
        </w:rPr>
        <w:t xml:space="preserve"> — Negative reviews disguised as questions (Q4). Flag-and-skip or owner-reply with empathy.</w:t>
      </w:r>
    </w:p>
    <w:p>
      <w:pPr>
        <w:spacing w:before="200" w:after="40"/>
      </w:pPr>
      <w:r>
        <w:rPr>
          <w:b/>
          <w:color w:val="C97A17"/>
          <w:sz w:val="25"/>
        </w:rPr>
        <w:t>P0 — High-intent admission decision questions (answer first, deep)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val="clear" w:color="auto" w:fill="0B1726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606"/>
            <w:shd w:val="clear" w:color="auto" w:fill="0B1726"/>
          </w:tcPr>
          <w:p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2606"/>
            <w:shd w:val="clear" w:color="auto" w:fill="0B1726"/>
          </w:tcPr>
          <w:p>
            <w:r/>
            <w:r>
              <w:rPr>
                <w:b/>
                <w:color w:val="FFFFFF"/>
                <w:sz w:val="20"/>
              </w:rPr>
              <w:t>Recommended answer angle (150 chars)</w:t>
            </w:r>
          </w:p>
        </w:tc>
        <w:tc>
          <w:tcPr>
            <w:tcW w:type="dxa" w:w="2606"/>
            <w:shd w:val="clear" w:color="auto" w:fill="0B1726"/>
          </w:tcPr>
          <w:p>
            <w:r/>
            <w:r>
              <w:rPr>
                <w:b/>
                <w:color w:val="FFFFFF"/>
                <w:sz w:val="20"/>
              </w:rPr>
              <w:t>Site URL to reference</w:t>
            </w:r>
          </w:p>
        </w:tc>
      </w:tr>
      <w:tr>
        <w:tc>
          <w:tcPr>
            <w:tcW w:type="dxa" w:w="2606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606"/>
          </w:tcPr>
          <w:p>
            <w:r/>
            <w:r>
              <w:rPr>
                <w:sz w:val="19"/>
              </w:rPr>
              <w:t>How does the Recovery Coach Service at Arms Acres help after treatment?</w:t>
            </w:r>
          </w:p>
        </w:tc>
        <w:tc>
          <w:tcPr>
            <w:tcW w:type="dxa" w:w="2606"/>
          </w:tcPr>
          <w:p>
            <w:r/>
            <w:r>
              <w:rPr>
                <w:sz w:val="19"/>
              </w:rPr>
              <w:t>1:1 recovery coach assigned at discharge — helps with relapse-risk navigation, family reintegration, MAT continuity.</w:t>
            </w:r>
          </w:p>
        </w:tc>
        <w:tc>
          <w:tcPr>
            <w:tcW w:type="dxa" w:w="2606"/>
          </w:tcPr>
          <w:p>
            <w:r/>
            <w:r>
              <w:rPr>
                <w:sz w:val="19"/>
              </w:rPr>
              <w:t>/service/recovery-coach</w:t>
            </w:r>
          </w:p>
        </w:tc>
      </w:tr>
      <w:tr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What makes the Family Treatment Program at Arms Acres valuable for loved ones of someone in recovery?</w:t>
            </w:r>
          </w:p>
        </w:tc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Family education + multi-family group sessions + aftercare planning. Open to spouses/parents/adult-children.</w:t>
            </w:r>
          </w:p>
        </w:tc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/inpatient/adult-rehabilitation (family section)</w:t>
            </w:r>
          </w:p>
        </w:tc>
      </w:tr>
      <w:tr>
        <w:tc>
          <w:tcPr>
            <w:tcW w:type="dxa" w:w="2606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606"/>
          </w:tcPr>
          <w:p>
            <w:r/>
            <w:r>
              <w:rPr>
                <w:sz w:val="19"/>
              </w:rPr>
              <w:t>Can I send my daughter — needs help 15 please need help</w:t>
            </w:r>
          </w:p>
        </w:tc>
        <w:tc>
          <w:tcPr>
            <w:tcW w:type="dxa" w:w="2606"/>
          </w:tcPr>
          <w:p>
            <w:r/>
            <w:r>
              <w:rPr>
                <w:sz w:val="19"/>
              </w:rPr>
              <w:t>We don't currently treat under-18s at our Carmel inpatient facility. For NY-state adolescent treatment options, call our intake at 1-888-227-4641 — we'll refer to an age-appropriate program.</w:t>
            </w:r>
          </w:p>
        </w:tc>
        <w:tc>
          <w:tcPr>
            <w:tcW w:type="dxa" w:w="2606"/>
          </w:tcPr>
          <w:p>
            <w:r/>
            <w:r>
              <w:rPr>
                <w:sz w:val="19"/>
              </w:rPr>
              <w:t>/admissions</w:t>
            </w:r>
          </w:p>
        </w:tc>
      </w:tr>
      <w:tr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How does Arms Acres in Carmel Hamlet, NY support individuals struggling with both addiction and mental health issues?</w:t>
            </w:r>
          </w:p>
        </w:tc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Dual-diagnosis residential program — integrated psychiatric services + SUD treatment + medication management.</w:t>
            </w:r>
          </w:p>
        </w:tc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/inpatient/adult-rehabilitation + /service/psychiatric-services</w:t>
            </w:r>
          </w:p>
        </w:tc>
      </w:tr>
      <w:tr>
        <w:tc>
          <w:tcPr>
            <w:tcW w:type="dxa" w:w="2606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2606"/>
          </w:tcPr>
          <w:p>
            <w:r/>
            <w:r>
              <w:rPr>
                <w:sz w:val="19"/>
              </w:rPr>
              <w:t>Can you remain on suboxone?</w:t>
            </w:r>
          </w:p>
        </w:tc>
        <w:tc>
          <w:tcPr>
            <w:tcW w:type="dxa" w:w="2606"/>
          </w:tcPr>
          <w:p>
            <w:r/>
            <w:r>
              <w:rPr>
                <w:sz w:val="19"/>
              </w:rPr>
              <w:t>Yes — MAT continuation is supported. Buprenorphine/naltrexone protocols supervised by clinical team.</w:t>
            </w:r>
          </w:p>
        </w:tc>
        <w:tc>
          <w:tcPr>
            <w:tcW w:type="dxa" w:w="2606"/>
          </w:tcPr>
          <w:p>
            <w:r/>
            <w:r>
              <w:rPr>
                <w:sz w:val="19"/>
              </w:rPr>
              <w:t>/service/medication-assisted-therapy</w:t>
            </w:r>
          </w:p>
        </w:tc>
      </w:tr>
      <w:tr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What's the average stay and how far from the city is it?</w:t>
            </w:r>
          </w:p>
        </w:tc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Average inpatient stay: 28-30 days clinical norm, extended as medically indicated. Carmel Hamlet is ~60 mi north of NYC (~75 min drive).</w:t>
            </w:r>
          </w:p>
        </w:tc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/inpatient/adult-rehabilitation</w:t>
            </w:r>
          </w:p>
        </w:tc>
      </w:tr>
      <w:tr>
        <w:tc>
          <w:tcPr>
            <w:tcW w:type="dxa" w:w="2606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2606"/>
          </w:tcPr>
          <w:p>
            <w:r/>
            <w:r>
              <w:rPr>
                <w:sz w:val="19"/>
              </w:rPr>
              <w:t>Does arms acres in carmel take pregnant women?</w:t>
            </w:r>
          </w:p>
        </w:tc>
        <w:tc>
          <w:tcPr>
            <w:tcW w:type="dxa" w:w="2606"/>
          </w:tcPr>
          <w:p>
            <w:r/>
            <w:r>
              <w:rPr>
                <w:sz w:val="19"/>
              </w:rPr>
              <w:t>We accept pregnant patients on a case-by-case basis with OB consultation. Contact intake 1-888-227-4641 for clinical screening.</w:t>
            </w:r>
          </w:p>
        </w:tc>
        <w:tc>
          <w:tcPr>
            <w:tcW w:type="dxa" w:w="2606"/>
          </w:tcPr>
          <w:p>
            <w:r/>
            <w:r>
              <w:rPr>
                <w:sz w:val="19"/>
              </w:rPr>
              <w:t>/admissions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C97A17"/>
          <w:sz w:val="25"/>
        </w:rPr>
        <w:t>P1 — Practical "what to expect" questions (easy wins, batch)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val="clear" w:color="auto" w:fill="0B1726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606"/>
            <w:shd w:val="clear" w:color="auto" w:fill="0B1726"/>
          </w:tcPr>
          <w:p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2606"/>
            <w:shd w:val="clear" w:color="auto" w:fill="0B1726"/>
          </w:tcPr>
          <w:p>
            <w:r/>
            <w:r>
              <w:rPr>
                <w:b/>
                <w:color w:val="FFFFFF"/>
                <w:sz w:val="20"/>
              </w:rPr>
              <w:t>Recommended answer angle</w:t>
            </w:r>
          </w:p>
        </w:tc>
        <w:tc>
          <w:tcPr>
            <w:tcW w:type="dxa" w:w="2606"/>
            <w:shd w:val="clear" w:color="auto" w:fill="0B1726"/>
          </w:tcPr>
          <w:p>
            <w:r/>
            <w:r>
              <w:rPr>
                <w:b/>
                <w:color w:val="FFFFFF"/>
                <w:sz w:val="20"/>
              </w:rPr>
              <w:t>Site URL to reference</w:t>
            </w:r>
          </w:p>
        </w:tc>
      </w:tr>
      <w:tr>
        <w:tc>
          <w:tcPr>
            <w:tcW w:type="dxa" w:w="2606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606"/>
          </w:tcPr>
          <w:p>
            <w:r/>
            <w:r>
              <w:rPr>
                <w:sz w:val="19"/>
              </w:rPr>
              <w:t>Can you send a person a phone card to make phone calls</w:t>
            </w:r>
          </w:p>
        </w:tc>
        <w:tc>
          <w:tcPr>
            <w:tcW w:type="dxa" w:w="2606"/>
          </w:tcPr>
          <w:p>
            <w:r/>
            <w:r>
              <w:rPr>
                <w:sz w:val="19"/>
              </w:rPr>
              <w:t>Phone access policy varies by treatment phase. Family can mail prepaid phone cards to admissions; staff distributes per program rules.</w:t>
            </w:r>
          </w:p>
        </w:tc>
        <w:tc>
          <w:tcPr>
            <w:tcW w:type="dxa" w:w="2606"/>
          </w:tcPr>
          <w:p>
            <w:r/>
            <w:r>
              <w:rPr>
                <w:sz w:val="19"/>
              </w:rPr>
              <w:t>/inpatient/adult-rehabilitation</w:t>
            </w:r>
          </w:p>
        </w:tc>
      </w:tr>
      <w:tr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Can a patient receive mail?</w:t>
            </w:r>
          </w:p>
        </w:tc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Yes — mail is delivered daily after staff review for safety (no contraband). Send to 75 Seminary Hill Rd Carmel Hamlet NY 10512 c/o [patient name].</w:t>
            </w:r>
          </w:p>
        </w:tc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/admissions</w:t>
            </w:r>
          </w:p>
        </w:tc>
      </w:tr>
      <w:tr>
        <w:tc>
          <w:tcPr>
            <w:tcW w:type="dxa" w:w="2606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606"/>
          </w:tcPr>
          <w:p>
            <w:r/>
            <w:r>
              <w:rPr>
                <w:sz w:val="19"/>
              </w:rPr>
              <w:t>Can I bring clothes for a person stay here?</w:t>
            </w:r>
          </w:p>
        </w:tc>
        <w:tc>
          <w:tcPr>
            <w:tcW w:type="dxa" w:w="2606"/>
          </w:tcPr>
          <w:p>
            <w:r/>
            <w:r>
              <w:rPr>
                <w:sz w:val="19"/>
              </w:rPr>
              <w:t>Yes — comfortable casual clothing for a 28-day stay. Avoid drawstrings + valuables. Full packing list available at admissions.</w:t>
            </w:r>
          </w:p>
        </w:tc>
        <w:tc>
          <w:tcPr>
            <w:tcW w:type="dxa" w:w="2606"/>
          </w:tcPr>
          <w:p>
            <w:r/>
            <w:r>
              <w:rPr>
                <w:sz w:val="19"/>
              </w:rPr>
              <w:t>/admissions</w:t>
            </w:r>
          </w:p>
        </w:tc>
      </w:tr>
      <w:tr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What am I allowed to bring in with me</w:t>
            </w:r>
          </w:p>
        </w:tc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Same answer as Q3 + add toiletries, prescribed meds (in original containers), insurance card, ID. Full list in admissions packet.</w:t>
            </w:r>
          </w:p>
        </w:tc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/admissions</w:t>
            </w:r>
          </w:p>
        </w:tc>
      </w:tr>
      <w:tr>
        <w:tc>
          <w:tcPr>
            <w:tcW w:type="dxa" w:w="2606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2606"/>
          </w:tcPr>
          <w:p>
            <w:r/>
            <w:r>
              <w:rPr>
                <w:sz w:val="19"/>
              </w:rPr>
              <w:t>Do patients need money while there?</w:t>
            </w:r>
          </w:p>
        </w:tc>
        <w:tc>
          <w:tcPr>
            <w:tcW w:type="dxa" w:w="2606"/>
          </w:tcPr>
          <w:p>
            <w:r/>
            <w:r>
              <w:rPr>
                <w:sz w:val="19"/>
              </w:rPr>
              <w:t>No — all clinical/room/meal costs covered by program. Small allowance for canteen/incidentals optional; family can pre-load if desired.</w:t>
            </w:r>
          </w:p>
        </w:tc>
        <w:tc>
          <w:tcPr>
            <w:tcW w:type="dxa" w:w="2606"/>
          </w:tcPr>
          <w:p>
            <w:r/>
            <w:r>
              <w:rPr>
                <w:sz w:val="19"/>
              </w:rPr>
              <w:t>/admissions</w:t>
            </w:r>
          </w:p>
        </w:tc>
      </w:tr>
      <w:tr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My son has been there since May 17, 2018. How will I know if he needs anything?</w:t>
            </w:r>
          </w:p>
        </w:tc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Designated family liaison contacts you within 72 hrs of admission. For active patient updates call 1-888-227-4641 ext. [family-liaison].</w:t>
            </w:r>
          </w:p>
        </w:tc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(no specific URL — admin contact)</w:t>
            </w:r>
          </w:p>
        </w:tc>
      </w:tr>
      <w:tr>
        <w:tc>
          <w:tcPr>
            <w:tcW w:type="dxa" w:w="2606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2606"/>
          </w:tcPr>
          <w:p>
            <w:r/>
            <w:r>
              <w:rPr>
                <w:sz w:val="19"/>
              </w:rPr>
              <w:t>Can I send money in a card?</w:t>
            </w:r>
          </w:p>
        </w:tc>
        <w:tc>
          <w:tcPr>
            <w:tcW w:type="dxa" w:w="2606"/>
          </w:tcPr>
          <w:p>
            <w:r/>
            <w:r>
              <w:rPr>
                <w:sz w:val="19"/>
              </w:rPr>
              <w:t>Yes — cards/letters delivered after staff review. Cash is held by patient services; receipts provided to family.</w:t>
            </w:r>
          </w:p>
        </w:tc>
        <w:tc>
          <w:tcPr>
            <w:tcW w:type="dxa" w:w="2606"/>
          </w:tcPr>
          <w:p>
            <w:r/>
            <w:r>
              <w:rPr>
                <w:sz w:val="19"/>
              </w:rPr>
              <w:t>/admissions</w:t>
            </w:r>
          </w:p>
        </w:tc>
      </w:tr>
      <w:tr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What kind of phone card can a person use?</w:t>
            </w:r>
          </w:p>
        </w:tc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Prepaid international/long-distance cards accepted. AT&amp;T or Boost-brand calling cards work with our facility phones.</w:t>
            </w:r>
          </w:p>
        </w:tc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(admin)</w:t>
            </w:r>
          </w:p>
        </w:tc>
      </w:tr>
      <w:tr>
        <w:tc>
          <w:tcPr>
            <w:tcW w:type="dxa" w:w="2606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2606"/>
          </w:tcPr>
          <w:p>
            <w:r/>
            <w:r>
              <w:rPr>
                <w:sz w:val="19"/>
              </w:rPr>
              <w:t>What's the dress code?</w:t>
            </w:r>
          </w:p>
        </w:tc>
        <w:tc>
          <w:tcPr>
            <w:tcW w:type="dxa" w:w="2606"/>
          </w:tcPr>
          <w:p>
            <w:r/>
            <w:r>
              <w:rPr>
                <w:sz w:val="19"/>
              </w:rPr>
              <w:t>Comfortable casual — t-shirts, sweatpants, sneakers. No drawstrings, no offensive graphics, no overly revealing items.</w:t>
            </w:r>
          </w:p>
        </w:tc>
        <w:tc>
          <w:tcPr>
            <w:tcW w:type="dxa" w:w="2606"/>
          </w:tcPr>
          <w:p>
            <w:r/>
            <w:r>
              <w:rPr>
                <w:sz w:val="19"/>
              </w:rPr>
              <w:t>/admissions</w:t>
            </w:r>
          </w:p>
        </w:tc>
      </w:tr>
      <w:tr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Are men and women together — share rooms/bathrooms/same area?</w:t>
            </w:r>
          </w:p>
        </w:tc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No — rooms and bathrooms are gender-separated. Some clinical groups are mixed-gender by design (educational/group therapy); social spaces are shared.</w:t>
            </w:r>
          </w:p>
        </w:tc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/inpatient/adult-rehabilitation</w:t>
            </w:r>
          </w:p>
        </w:tc>
      </w:tr>
      <w:tr>
        <w:tc>
          <w:tcPr>
            <w:tcW w:type="dxa" w:w="2606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2606"/>
          </w:tcPr>
          <w:p>
            <w:r/>
            <w:r>
              <w:rPr>
                <w:sz w:val="19"/>
              </w:rPr>
              <w:t>Can I visit someone there</w:t>
            </w:r>
          </w:p>
        </w:tc>
        <w:tc>
          <w:tcPr>
            <w:tcW w:type="dxa" w:w="2606"/>
          </w:tcPr>
          <w:p>
            <w:r/>
            <w:r>
              <w:rPr>
                <w:sz w:val="19"/>
              </w:rPr>
              <w:t>Yes — supervised visits permitted after the orientation phase (~7 days). Call 1-888-227-4641 to schedule.</w:t>
            </w:r>
          </w:p>
        </w:tc>
        <w:tc>
          <w:tcPr>
            <w:tcW w:type="dxa" w:w="2606"/>
          </w:tcPr>
          <w:p>
            <w:r/>
            <w:r>
              <w:rPr>
                <w:sz w:val="19"/>
              </w:rPr>
              <w:t>/admissions</w:t>
            </w:r>
          </w:p>
        </w:tc>
      </w:tr>
      <w:tr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Can I keep my cell phone</w:t>
            </w:r>
          </w:p>
        </w:tc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Phones are held during the orientation phase, returned per program structure with daily/weekly access. Policy explained at admission.</w:t>
            </w:r>
          </w:p>
        </w:tc>
        <w:tc>
          <w:tcPr>
            <w:tcW w:type="dxa" w:w="2606"/>
            <w:shd w:val="clear" w:color="auto" w:fill="F7F7F7"/>
          </w:tcPr>
          <w:p>
            <w:r/>
            <w:r>
              <w:rPr>
                <w:sz w:val="19"/>
              </w:rPr>
              <w:t>/admissions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C97A17"/>
          <w:sz w:val="25"/>
        </w:rPr>
        <w:t>P2 — Sensitive/admin (answer with care)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0B1726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475"/>
            <w:shd w:val="clear" w:color="auto" w:fill="0B1726"/>
          </w:tcPr>
          <w:p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475"/>
            <w:shd w:val="clear" w:color="auto" w:fill="0B1726"/>
          </w:tcPr>
          <w:p>
            <w:r/>
            <w:r>
              <w:rPr>
                <w:b/>
                <w:color w:val="FFFFFF"/>
                <w:sz w:val="20"/>
              </w:rPr>
              <w:t>Recommended answer angle</w:t>
            </w:r>
          </w:p>
        </w:tc>
      </w:tr>
      <w:tr>
        <w:tc>
          <w:tcPr>
            <w:tcW w:type="dxa" w:w="3475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3475"/>
          </w:tcPr>
          <w:p>
            <w:r/>
            <w:r>
              <w:rPr>
                <w:sz w:val="19"/>
              </w:rPr>
              <w:t>Can staff date each other in the same building</w:t>
            </w:r>
          </w:p>
        </w:tc>
        <w:tc>
          <w:tcPr>
            <w:tcW w:type="dxa" w:w="3475"/>
          </w:tcPr>
          <w:p>
            <w:r/>
            <w:r>
              <w:rPr>
                <w:sz w:val="19"/>
              </w:rPr>
              <w:t>Staff dating policies are governed by our HR conduct standards; this isn't a topic affecting patient care or treatment outcomes. (Brief, professional, redirect.)</w:t>
            </w:r>
          </w:p>
        </w:tc>
      </w:tr>
      <w:tr>
        <w:tc>
          <w:tcPr>
            <w:tcW w:type="dxa" w:w="3475"/>
            <w:shd w:val="clear" w:color="auto" w:fill="F7F7F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3475"/>
            <w:shd w:val="clear" w:color="auto" w:fill="F7F7F7"/>
          </w:tcPr>
          <w:p>
            <w:r/>
            <w:r>
              <w:rPr>
                <w:sz w:val="19"/>
              </w:rPr>
              <w:t>Is there men and women house in this program</w:t>
            </w:r>
          </w:p>
        </w:tc>
        <w:tc>
          <w:tcPr>
            <w:tcW w:type="dxa" w:w="3475"/>
            <w:shd w:val="clear" w:color="auto" w:fill="F7F7F7"/>
          </w:tcPr>
          <w:p>
            <w:r/>
            <w:r>
              <w:rPr>
                <w:sz w:val="19"/>
              </w:rPr>
              <w:t>Same as Q21 — rooms gender-separated, some clinical groups mixed.</w:t>
            </w:r>
          </w:p>
        </w:tc>
      </w:tr>
      <w:tr>
        <w:tc>
          <w:tcPr>
            <w:tcW w:type="dxa" w:w="3475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3475"/>
          </w:tcPr>
          <w:p>
            <w:r/>
            <w:r>
              <w:rPr>
                <w:sz w:val="19"/>
              </w:rPr>
              <w:t>Is cigarette smoking allowed?</w:t>
            </w:r>
          </w:p>
        </w:tc>
        <w:tc>
          <w:tcPr>
            <w:tcW w:type="dxa" w:w="3475"/>
          </w:tcPr>
          <w:p>
            <w:r/>
            <w:r>
              <w:rPr>
                <w:sz w:val="19"/>
              </w:rPr>
              <w:t>Designated outdoor smoking areas available during non-clinical hours. We support nicotine-cessation programs for patients who want to quit alongside SUD treatment.</w:t>
            </w:r>
          </w:p>
        </w:tc>
      </w:tr>
      <w:tr>
        <w:tc>
          <w:tcPr>
            <w:tcW w:type="dxa" w:w="3475"/>
            <w:shd w:val="clear" w:color="auto" w:fill="F7F7F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3475"/>
            <w:shd w:val="clear" w:color="auto" w:fill="F7F7F7"/>
          </w:tcPr>
          <w:p>
            <w:r/>
            <w:r>
              <w:rPr>
                <w:sz w:val="19"/>
              </w:rPr>
              <w:t>Do men and women attend the same groups or downtime?</w:t>
            </w:r>
          </w:p>
        </w:tc>
        <w:tc>
          <w:tcPr>
            <w:tcW w:type="dxa" w:w="3475"/>
            <w:shd w:val="clear" w:color="auto" w:fill="F7F7F7"/>
          </w:tcPr>
          <w:p>
            <w:r/>
            <w:r>
              <w:rPr>
                <w:sz w:val="19"/>
              </w:rPr>
              <w:t>Clinical/group therapy may be co-ed depending on the curriculum. Living/sleeping/bathroom spaces are gender-separated.</w:t>
            </w:r>
          </w:p>
        </w:tc>
      </w:tr>
      <w:tr>
        <w:tc>
          <w:tcPr>
            <w:tcW w:type="dxa" w:w="3475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3475"/>
          </w:tcPr>
          <w:p>
            <w:r/>
            <w:r>
              <w:rPr>
                <w:sz w:val="19"/>
              </w:rPr>
              <w:t>Is there smoking allowed or can you use ecig?</w:t>
            </w:r>
          </w:p>
        </w:tc>
        <w:tc>
          <w:tcPr>
            <w:tcW w:type="dxa" w:w="3475"/>
          </w:tcPr>
          <w:p>
            <w:r/>
            <w:r>
              <w:rPr>
                <w:sz w:val="19"/>
              </w:rPr>
              <w:t>Yes — designated outdoor smoking areas. E-cigs permitted in same areas. Vapes containing THC or non-nicotine substances are not permitted.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C97A17"/>
          <w:sz w:val="25"/>
        </w:rPr>
        <w:t>P3 — Negative reviews disguised as questions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0B1726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475"/>
            <w:shd w:val="clear" w:color="auto" w:fill="0B1726"/>
          </w:tcPr>
          <w:p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475"/>
            <w:shd w:val="clear" w:color="auto" w:fill="0B1726"/>
          </w:tcPr>
          <w:p>
            <w:r/>
            <w:r>
              <w:rPr>
                <w:b/>
                <w:color w:val="FFFFFF"/>
                <w:sz w:val="20"/>
              </w:rPr>
              <w:t>Recommended action</w:t>
            </w:r>
          </w:p>
        </w:tc>
      </w:tr>
      <w:tr>
        <w:tc>
          <w:tcPr>
            <w:tcW w:type="dxa" w:w="3475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475"/>
          </w:tcPr>
          <w:p>
            <w:r/>
            <w:r>
              <w:rPr>
                <w:sz w:val="19"/>
              </w:rPr>
              <w:t>"Shut this place down this place is terrible the staff treats those who are addicted like criminals…"</w:t>
            </w:r>
          </w:p>
        </w:tc>
        <w:tc>
          <w:tcPr>
            <w:tcW w:type="dxa" w:w="3475"/>
          </w:tcPr>
          <w:p>
            <w:r/>
            <w:r>
              <w:rPr>
                <w:sz w:val="19"/>
              </w:rPr>
              <w:t>This is a complaint, not a question. Do NOT answer with the standard owner-reply (would amplify the negative signal). Instead: leave un-replied OR have GBP Ops flag for review-removal request if it violates Google's Q&amp;A policy (advocacy/spam).</w:t>
            </w:r>
          </w:p>
        </w:tc>
      </w:tr>
    </w:tbl>
    <w:p>
      <w:pPr>
        <w:spacing w:after="40"/>
      </w:pPr>
    </w:p>
    <w:p>
      <w:pPr>
        <w:spacing w:before="160" w:after="160"/>
        <w:pBdr>
          <w:bottom w:val="single" w:sz="6" w:color="CCCCCC"/>
        </w:pBdr>
      </w:pPr>
    </w:p>
    <w:p>
      <w:pPr>
        <w:spacing w:before="280" w:after="80"/>
      </w:pPr>
      <w:r>
        <w:rPr>
          <w:b/>
          <w:color w:val="0B1726"/>
          <w:sz w:val="30"/>
        </w:rPr>
        <w:t>Execution plan</w:t>
      </w:r>
    </w:p>
    <w:p>
      <w:pPr>
        <w:spacing w:before="0" w:after="80"/>
      </w:pPr>
      <w:r>
        <w:rPr>
          <w:b/>
          <w:sz w:val="22"/>
        </w:rPr>
        <w:t>M1 task:</w:t>
      </w:r>
      <w:r>
        <w:rPr>
          <w:sz w:val="22"/>
        </w:rPr>
        <w:t xml:space="preserve"> answer Q1-Q3, Q5-Q6, Q9-Q11, Q13, Q15-Q25 (24 of 25). Skip Q4.</w:t>
      </w:r>
    </w:p>
    <w:p>
      <w:pPr>
        <w:spacing w:before="0" w:after="80"/>
      </w:pPr>
      <w:r>
        <w:rPr>
          <w:sz w:val="22"/>
        </w:rPr>
        <w:t>Per HQDM GBP-QA-Response-SOP:</w:t>
      </w:r>
    </w:p>
    <w:p>
      <w:pPr>
        <w:spacing w:after="40"/>
        <w:ind w:left="340" w:hanging="227"/>
      </w:pPr>
      <w:r>
        <w:rPr>
          <w:sz w:val="21"/>
        </w:rPr>
        <w:t>1. Log into Google Business Profile Manager via info@hqdm.io</w:t>
      </w:r>
    </w:p>
    <w:p>
      <w:pPr>
        <w:spacing w:after="40"/>
        <w:ind w:left="340" w:hanging="227"/>
      </w:pPr>
      <w:r>
        <w:rPr>
          <w:sz w:val="21"/>
        </w:rPr>
        <w:t>2. Navigate to Arms Acres: Inpatient → Q&amp;A section</w:t>
      </w:r>
    </w:p>
    <w:p>
      <w:pPr>
        <w:spacing w:after="40"/>
        <w:ind w:left="340" w:hanging="227"/>
      </w:pPr>
      <w:r>
        <w:rPr>
          <w:sz w:val="21"/>
        </w:rPr>
        <w:t>3. For each question, click "Reply as owner"</w:t>
      </w:r>
    </w:p>
    <w:p>
      <w:pPr>
        <w:spacing w:after="40"/>
        <w:ind w:left="340" w:hanging="227"/>
      </w:pPr>
      <w:r>
        <w:rPr>
          <w:sz w:val="21"/>
        </w:rPr>
        <w:t>4. Paste the prepared answer (use the angles above; tailor exact wording per HQDM voice + brand tone)</w:t>
      </w:r>
    </w:p>
    <w:p>
      <w:pPr>
        <w:spacing w:after="40"/>
        <w:ind w:left="340" w:hanging="227"/>
      </w:pPr>
      <w:r>
        <w:rPr>
          <w:sz w:val="21"/>
        </w:rPr>
        <w:t>5. Where applicable, include a contextual link to the site URL listed in the table</w:t>
      </w:r>
    </w:p>
    <w:p>
      <w:pPr>
        <w:spacing w:after="40"/>
        <w:ind w:left="340" w:hanging="227"/>
      </w:pPr>
      <w:r>
        <w:rPr>
          <w:sz w:val="21"/>
        </w:rPr>
        <w:t>6. Mark answer-is-owner = true (automatic when posted from Manager)</w:t>
      </w:r>
    </w:p>
    <w:p>
      <w:pPr>
        <w:spacing w:after="40"/>
        <w:ind w:left="340" w:hanging="227"/>
      </w:pPr>
      <w:r>
        <w:rPr>
          <w:sz w:val="21"/>
        </w:rPr>
        <w:t>7. Document each answer in this audit's "answered" column post-execution</w:t>
      </w:r>
    </w:p>
    <w:p>
      <w:pPr>
        <w:spacing w:before="0" w:after="80"/>
      </w:pPr>
      <w:r>
        <w:rPr>
          <w:b/>
          <w:sz w:val="22"/>
        </w:rPr>
        <w:t>Then seed 10-15 new Q&amp;As</w:t>
      </w:r>
      <w:r>
        <w:rPr>
          <w:sz w:val="22"/>
        </w:rPr>
        <w:t xml:space="preserve"> per LG-INPC-07's seed plan (via aged-Gmail pool for asking + info@ for replies). Topics:</w:t>
      </w:r>
    </w:p>
    <w:p>
      <w:pPr>
        <w:spacing w:after="40"/>
        <w:ind w:left="340" w:hanging="227"/>
      </w:pPr>
      <w:r>
        <w:rPr>
          <w:sz w:val="21"/>
        </w:rPr>
        <w:t>• Insurance carrier specifics (Aetna / Medicare / Medicaid / Tricare / Cigna / BCBS)</w:t>
      </w:r>
    </w:p>
    <w:p>
      <w:pPr>
        <w:spacing w:after="40"/>
        <w:ind w:left="340" w:hanging="227"/>
      </w:pPr>
      <w:r>
        <w:rPr>
          <w:sz w:val="21"/>
        </w:rPr>
        <w:t>• MAT details (methadone vs Suboxone vs Vivitrol)</w:t>
      </w:r>
    </w:p>
    <w:p>
      <w:pPr>
        <w:spacing w:after="40"/>
        <w:ind w:left="340" w:hanging="227"/>
      </w:pPr>
      <w:r>
        <w:rPr>
          <w:sz w:val="21"/>
        </w:rPr>
        <w:t>• Length-of-stay tiers (28-day / 60-day / 90-day options)</w:t>
      </w:r>
    </w:p>
    <w:p>
      <w:pPr>
        <w:spacing w:after="40"/>
        <w:ind w:left="340" w:hanging="227"/>
      </w:pPr>
      <w:r>
        <w:rPr>
          <w:sz w:val="21"/>
        </w:rPr>
        <w:t>• Walk-in vs scheduled intake process</w:t>
      </w:r>
    </w:p>
    <w:p>
      <w:pPr>
        <w:spacing w:after="40"/>
        <w:ind w:left="340" w:hanging="227"/>
      </w:pPr>
      <w:r>
        <w:rPr>
          <w:sz w:val="21"/>
        </w:rPr>
        <w:t>• Insurance verification process (60-second pre-screen)</w:t>
      </w:r>
    </w:p>
    <w:p>
      <w:pPr>
        <w:spacing w:after="40"/>
        <w:ind w:left="340" w:hanging="227"/>
      </w:pPr>
      <w:r>
        <w:rPr>
          <w:sz w:val="21"/>
        </w:rPr>
        <w:t>• After-hours admission availability</w:t>
      </w:r>
    </w:p>
    <w:p>
      <w:pPr>
        <w:spacing w:after="40"/>
        <w:ind w:left="340" w:hanging="227"/>
      </w:pPr>
      <w:r>
        <w:rPr>
          <w:sz w:val="21"/>
        </w:rPr>
        <w:t>• Family visitation schedule + virtual visit options</w:t>
      </w:r>
    </w:p>
    <w:p>
      <w:pPr>
        <w:spacing w:after="40"/>
        <w:ind w:left="340" w:hanging="227"/>
      </w:pPr>
      <w:r>
        <w:rPr>
          <w:sz w:val="21"/>
        </w:rPr>
        <w:t>• Aftercare/alumni program access</w:t>
      </w:r>
    </w:p>
    <w:p>
      <w:pPr>
        <w:spacing w:after="40"/>
        <w:ind w:left="340" w:hanging="227"/>
      </w:pPr>
      <w:r>
        <w:rPr>
          <w:sz w:val="21"/>
        </w:rPr>
        <w:t>• Telehealth follow-up post-discharge</w:t>
      </w:r>
    </w:p>
    <w:p>
      <w:pPr>
        <w:spacing w:after="40"/>
        <w:ind w:left="340" w:hanging="227"/>
      </w:pPr>
      <w:r>
        <w:rPr>
          <w:sz w:val="21"/>
        </w:rPr>
        <w:t>• Spanish-language services availability</w:t>
      </w:r>
    </w:p>
    <w:p>
      <w:pPr>
        <w:spacing w:after="40"/>
        <w:ind w:left="340" w:hanging="227"/>
      </w:pPr>
      <w:r>
        <w:rPr>
          <w:sz w:val="21"/>
        </w:rPr>
        <w:t>• LGBTQ+ inclusive treatment</w:t>
      </w:r>
    </w:p>
    <w:p>
      <w:pPr>
        <w:spacing w:after="40"/>
        <w:ind w:left="340" w:hanging="227"/>
      </w:pPr>
      <w:r>
        <w:rPr>
          <w:sz w:val="21"/>
        </w:rPr>
        <w:t>• Dual diagnosis screening process</w:t>
      </w:r>
    </w:p>
    <w:p>
      <w:pPr>
        <w:spacing w:after="40"/>
        <w:ind w:left="340" w:hanging="227"/>
      </w:pPr>
      <w:r>
        <w:rPr>
          <w:sz w:val="21"/>
        </w:rPr>
        <w:t>• Detox length per substance type</w:t>
      </w:r>
    </w:p>
    <w:p>
      <w:pPr>
        <w:spacing w:after="40"/>
        <w:ind w:left="340" w:hanging="227"/>
      </w:pPr>
      <w:r>
        <w:rPr>
          <w:sz w:val="21"/>
        </w:rPr>
        <w:t>• Discharge planning + sober-living referrals</w:t>
      </w:r>
    </w:p>
    <w:p>
      <w:pPr>
        <w:spacing w:before="0" w:after="80"/>
      </w:pPr>
      <w:r>
        <w:rPr>
          <w:sz w:val="22"/>
        </w:rPr>
        <w:t xml:space="preserve">Final state target: </w:t>
      </w:r>
      <w:r>
        <w:rPr>
          <w:b/>
          <w:sz w:val="22"/>
        </w:rPr>
        <w:t>~40 Q&amp;As, all owner-answered</w:t>
      </w:r>
      <w:r>
        <w:rPr>
          <w:sz w:val="22"/>
        </w:rPr>
        <w:t xml:space="preserve"> — putting AA Inpatient 1.5× ahead of Cornerstone Bronx (27 captured / 0 answered) and 3× ahead of Ascendant NYC (13 captured / 0 answered) on this signal.</w:t>
      </w:r>
    </w:p>
    <w:p>
      <w:pPr>
        <w:spacing w:before="160" w:after="160"/>
        <w:pBdr>
          <w:bottom w:val="single" w:sz="6" w:color="CCCCCC"/>
        </w:pBdr>
      </w:pPr>
    </w:p>
    <w:p>
      <w:pPr>
        <w:spacing w:before="0" w:after="80"/>
      </w:pPr>
      <w:r>
        <w:rPr>
          <w:i/>
          <w:sz w:val="22"/>
        </w:rPr>
        <w:t>Companion to task `LG-INPC-07` in `Arms_Acres_3Month_Tasks.csv`.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