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60"/>
        <w:pBdr>
          <w:bottom w:val="single" w:sz="12" w:color="0B1726"/>
        </w:pBdr>
      </w:pPr>
      <w:r>
        <w:rPr>
          <w:b/>
          <w:color w:val="0B1726"/>
          <w:sz w:val="40"/>
        </w:rPr>
        <w:t>SP-04 — /outpatient/queens-outpatient rebuild brief</w:t>
      </w:r>
    </w:p>
    <w:p>
      <w:pPr>
        <w:spacing w:before="0" w:after="80"/>
      </w:pPr>
      <w:r>
        <w:rPr>
          <w:b/>
          <w:sz w:val="22"/>
        </w:rPr>
        <w:t>Page:</w:t>
      </w:r>
      <w:r>
        <w:rPr>
          <w:sz w:val="22"/>
        </w:rPr>
        <w:t xml:space="preserve"> https://www.armsacres.com/outpatient/queens-outpatient</w:t>
      </w:r>
    </w:p>
    <w:p>
      <w:pPr>
        <w:spacing w:before="0" w:after="80"/>
      </w:pPr>
      <w:r>
        <w:rPr>
          <w:b/>
          <w:sz w:val="22"/>
        </w:rPr>
        <w:t>Pin:</w:t>
      </w:r>
      <w:r>
        <w:rPr>
          <w:sz w:val="22"/>
        </w:rPr>
        <w:t xml:space="preserve"> Arms Acres Outpatient - Queens (90-02 161st St, Jamaica NY 11432) · phone +1 718-520-1513</w:t>
      </w:r>
    </w:p>
    <w:p>
      <w:pPr>
        <w:spacing w:before="0" w:after="80"/>
      </w:pPr>
      <w:r>
        <w:rPr>
          <w:b/>
          <w:sz w:val="22"/>
        </w:rPr>
        <w:t>Maps state (Feb 16 2026 LD scan):</w:t>
      </w:r>
      <w:r>
        <w:rPr>
          <w:sz w:val="22"/>
        </w:rPr>
        <w:t xml:space="preserve"> 100% top-20 across 169-cell grid · 93-95% top-10 · 12-25% top-3 · median rank 5 on alcohol rehab + drug rehab · avg 8.70 overall</w:t>
      </w:r>
    </w:p>
    <w:p>
      <w:pPr>
        <w:spacing w:before="0" w:after="80"/>
      </w:pPr>
      <w:r>
        <w:rPr>
          <w:b/>
          <w:sz w:val="22"/>
        </w:rPr>
        <w:t>Page state today (audited 2026-05-12):</w:t>
      </w:r>
    </w:p>
    <w:p>
      <w:pPr>
        <w:spacing w:after="40"/>
        <w:ind w:left="340" w:hanging="227"/>
      </w:pPr>
      <w:r>
        <w:rPr>
          <w:sz w:val="21"/>
        </w:rPr>
        <w:t>• Hero + Queens NAP shown</w:t>
      </w:r>
    </w:p>
    <w:p>
      <w:pPr>
        <w:spacing w:after="40"/>
        <w:ind w:left="340" w:hanging="227"/>
      </w:pPr>
      <w:r>
        <w:rPr>
          <w:sz w:val="21"/>
        </w:rPr>
        <w:t>• "Start Your Treatment Here" button as the only CTA (no form)</w:t>
      </w:r>
    </w:p>
    <w:p>
      <w:pPr>
        <w:spacing w:after="40"/>
        <w:ind w:left="340" w:hanging="227"/>
      </w:pPr>
      <w:r>
        <w:rPr>
          <w:sz w:val="21"/>
        </w:rPr>
        <w:t>• Phone (718-520-1513) + Address + Clinic Hours block</w:t>
      </w:r>
    </w:p>
    <w:p>
      <w:pPr>
        <w:spacing w:after="40"/>
        <w:ind w:left="340" w:hanging="227"/>
      </w:pPr>
      <w:r>
        <w:rPr>
          <w:sz w:val="21"/>
        </w:rPr>
        <w:t xml:space="preserve">• Embedded map widget </w:t>
      </w:r>
      <w:r>
        <w:rPr>
          <w:b/>
          <w:sz w:val="21"/>
        </w:rPr>
        <w:t>renders "21 Old Rte 6, Carmel Hamlet NY" — the Carmel address, not Queens.</w:t>
      </w:r>
      <w:r>
        <w:rPr>
          <w:sz w:val="21"/>
        </w:rPr>
        <w:t xml:space="preserve"> Anyone using the embed gets directions to Carmel.</w:t>
      </w:r>
    </w:p>
    <w:p>
      <w:pPr>
        <w:spacing w:before="160" w:after="160"/>
        <w:pBdr>
          <w:bottom w:val="single" w:sz="6" w:color="CCCCCC"/>
        </w:pBdr>
      </w:pPr>
    </w:p>
    <w:p>
      <w:pPr>
        <w:spacing w:before="280" w:after="80"/>
      </w:pPr>
      <w:r>
        <w:rPr>
          <w:b/>
          <w:color w:val="0B1726"/>
          <w:sz w:val="30"/>
        </w:rPr>
        <w:t>What's broken</w:t>
      </w:r>
    </w:p>
    <w:p>
      <w:pPr>
        <w:spacing w:after="40"/>
        <w:ind w:left="340" w:hanging="227"/>
      </w:pPr>
      <w:r>
        <w:rPr>
          <w:sz w:val="21"/>
        </w:rPr>
        <w:t xml:space="preserve">1. </w:t>
      </w:r>
      <w:r>
        <w:rPr>
          <w:b/>
          <w:sz w:val="21"/>
        </w:rPr>
        <w:t>Wrong-address map embed</w:t>
      </w:r>
      <w:r>
        <w:rPr>
          <w:sz w:val="21"/>
        </w:rPr>
        <w:t xml:space="preserve"> — biggest user-trust signal, currently telling Maps users to drive to Putnam County for a Queens facility</w:t>
      </w:r>
    </w:p>
    <w:p>
      <w:pPr>
        <w:spacing w:after="40"/>
        <w:ind w:left="340" w:hanging="227"/>
      </w:pPr>
      <w:r>
        <w:rPr>
          <w:sz w:val="21"/>
        </w:rPr>
        <w:t xml:space="preserve">2. </w:t>
      </w:r>
      <w:r>
        <w:rPr>
          <w:b/>
          <w:sz w:val="21"/>
        </w:rPr>
        <w:t>No form</w:t>
      </w:r>
      <w:r>
        <w:rPr>
          <w:sz w:val="21"/>
        </w:rPr>
        <w:t xml:space="preserve"> — Call Now button only (CP-01 form-deploy advocacy is the gating change)</w:t>
      </w:r>
    </w:p>
    <w:p>
      <w:pPr>
        <w:spacing w:after="40"/>
        <w:ind w:left="340" w:hanging="227"/>
      </w:pPr>
      <w:r>
        <w:rPr>
          <w:sz w:val="21"/>
        </w:rPr>
        <w:t xml:space="preserve">3. </w:t>
      </w:r>
      <w:r>
        <w:rPr>
          <w:b/>
          <w:sz w:val="21"/>
        </w:rPr>
        <w:t>Thin content</w:t>
      </w:r>
      <w:r>
        <w:rPr>
          <w:sz w:val="21"/>
        </w:rPr>
        <w:t xml:space="preserve"> — copy doesn't enumerate Queens neighborhoods, doesn't anchor to Jamaica/Flushing/Forest Hills, doesn't reference adjacent services</w:t>
      </w:r>
    </w:p>
    <w:p>
      <w:pPr>
        <w:spacing w:after="40"/>
        <w:ind w:left="340" w:hanging="227"/>
      </w:pPr>
      <w:r>
        <w:rPr>
          <w:sz w:val="21"/>
        </w:rPr>
        <w:t xml:space="preserve">4. </w:t>
      </w:r>
      <w:r>
        <w:rPr>
          <w:b/>
          <w:sz w:val="21"/>
        </w:rPr>
        <w:t>No LocalBusiness schema</w:t>
      </w:r>
      <w:r>
        <w:rPr>
          <w:sz w:val="21"/>
        </w:rPr>
        <w:t xml:space="preserve"> with the actual Queens NAP — homepage carries Organization only</w:t>
      </w:r>
    </w:p>
    <w:p>
      <w:pPr>
        <w:spacing w:after="40"/>
        <w:ind w:left="340" w:hanging="227"/>
      </w:pPr>
      <w:r>
        <w:rPr>
          <w:sz w:val="21"/>
        </w:rPr>
        <w:t xml:space="preserve">5. </w:t>
      </w:r>
      <w:r>
        <w:rPr>
          <w:b/>
          <w:sz w:val="21"/>
        </w:rPr>
        <w:t>No internal link inbound</w:t>
      </w:r>
      <w:r>
        <w:rPr>
          <w:sz w:val="21"/>
        </w:rPr>
        <w:t xml:space="preserve"> from the rest of the site beyond standard nav</w:t>
      </w:r>
    </w:p>
    <w:p>
      <w:pPr>
        <w:spacing w:before="160" w:after="160"/>
        <w:pBdr>
          <w:bottom w:val="single" w:sz="6" w:color="CCCCCC"/>
        </w:pBdr>
      </w:pPr>
    </w:p>
    <w:p>
      <w:pPr>
        <w:spacing w:before="280" w:after="80"/>
      </w:pPr>
      <w:r>
        <w:rPr>
          <w:b/>
          <w:color w:val="0B1726"/>
          <w:sz w:val="30"/>
        </w:rPr>
        <w:t>What the rebuild ships (per HQDM On-Page Optimization SOP + Schema Markup SOP)</w:t>
      </w:r>
    </w:p>
    <w:p>
      <w:pPr>
        <w:spacing w:before="200" w:after="40"/>
      </w:pPr>
      <w:r>
        <w:rPr>
          <w:b/>
          <w:color w:val="C97A17"/>
          <w:sz w:val="25"/>
        </w:rPr>
        <w:t>1. Fix the embedded map widget *(highest priority — credibility fix)*</w:t>
      </w:r>
    </w:p>
    <w:p>
      <w:pPr>
        <w:spacing w:after="40"/>
        <w:ind w:left="340" w:hanging="227"/>
      </w:pPr>
      <w:r>
        <w:rPr>
          <w:sz w:val="21"/>
        </w:rPr>
        <w:t xml:space="preserve">• Replace the map widget's address from </w:t>
      </w:r>
      <w:r>
        <w:rPr>
          <w:rFonts w:ascii="Consolas" w:hAnsi="Consolas"/>
          <w:sz w:val="21"/>
        </w:rPr>
        <w:t>21 Old Rte 6 Carmel Hamlet</w:t>
      </w:r>
      <w:r>
        <w:rPr>
          <w:sz w:val="21"/>
        </w:rPr>
        <w:t xml:space="preserve"> to </w:t>
      </w:r>
      <w:r>
        <w:rPr>
          <w:rFonts w:ascii="Consolas" w:hAnsi="Consolas"/>
          <w:sz w:val="21"/>
        </w:rPr>
        <w:t>90-02 161st St, Jamaica NY 11432</w:t>
      </w:r>
    </w:p>
    <w:p>
      <w:pPr>
        <w:spacing w:after="40"/>
        <w:ind w:left="340" w:hanging="227"/>
      </w:pPr>
      <w:r>
        <w:rPr>
          <w:sz w:val="21"/>
        </w:rPr>
        <w:t xml:space="preserve">• Verify embed renders correctly with the Queens pin (CID </w:t>
      </w:r>
      <w:r>
        <w:rPr>
          <w:rFonts w:ascii="Consolas" w:hAnsi="Consolas"/>
          <w:sz w:val="21"/>
        </w:rPr>
        <w:t>[Queens OP CID]</w:t>
      </w:r>
      <w:r>
        <w:rPr>
          <w:sz w:val="21"/>
        </w:rPr>
        <w:t>)</w:t>
      </w:r>
    </w:p>
    <w:p>
      <w:pPr>
        <w:spacing w:after="40"/>
        <w:ind w:left="340" w:hanging="227"/>
      </w:pPr>
      <w:r>
        <w:rPr>
          <w:sz w:val="21"/>
        </w:rPr>
        <w:t>• Mobile + desktop QA</w:t>
      </w:r>
    </w:p>
    <w:p>
      <w:pPr>
        <w:spacing w:before="200" w:after="40"/>
      </w:pPr>
      <w:r>
        <w:rPr>
          <w:b/>
          <w:color w:val="C97A17"/>
          <w:sz w:val="25"/>
        </w:rPr>
        <w:t>2. Add Queens neighborhood enumeration (EAV-stack per Boost Mode SOP)</w:t>
      </w:r>
    </w:p>
    <w:p>
      <w:pPr>
        <w:spacing w:before="0" w:after="80"/>
      </w:pPr>
      <w:r>
        <w:rPr>
          <w:sz w:val="22"/>
        </w:rPr>
        <w:t>Six neighborhoods served — each named in body copy + ideally as an internal-anchor:</w:t>
      </w:r>
    </w:p>
    <w:p>
      <w:pPr>
        <w:spacing w:after="40"/>
        <w:ind w:left="340" w:hanging="227"/>
      </w:pPr>
      <w:r>
        <w:rPr>
          <w:sz w:val="21"/>
        </w:rPr>
        <w:t>• Jamaica</w:t>
      </w:r>
    </w:p>
    <w:p>
      <w:pPr>
        <w:spacing w:after="40"/>
        <w:ind w:left="340" w:hanging="227"/>
      </w:pPr>
      <w:r>
        <w:rPr>
          <w:sz w:val="21"/>
        </w:rPr>
        <w:t>• Flushing</w:t>
      </w:r>
    </w:p>
    <w:p>
      <w:pPr>
        <w:spacing w:after="40"/>
        <w:ind w:left="340" w:hanging="227"/>
      </w:pPr>
      <w:r>
        <w:rPr>
          <w:sz w:val="21"/>
        </w:rPr>
        <w:t>• Forest Hills</w:t>
      </w:r>
    </w:p>
    <w:p>
      <w:pPr>
        <w:spacing w:after="40"/>
        <w:ind w:left="340" w:hanging="227"/>
      </w:pPr>
      <w:r>
        <w:rPr>
          <w:sz w:val="21"/>
        </w:rPr>
        <w:t>• Astoria</w:t>
      </w:r>
    </w:p>
    <w:p>
      <w:pPr>
        <w:spacing w:after="40"/>
        <w:ind w:left="340" w:hanging="227"/>
      </w:pPr>
      <w:r>
        <w:rPr>
          <w:sz w:val="21"/>
        </w:rPr>
        <w:t>• Long Island City</w:t>
      </w:r>
    </w:p>
    <w:p>
      <w:pPr>
        <w:spacing w:after="40"/>
        <w:ind w:left="340" w:hanging="227"/>
      </w:pPr>
      <w:r>
        <w:rPr>
          <w:sz w:val="21"/>
        </w:rPr>
        <w:t>• Sunnyside</w:t>
      </w:r>
    </w:p>
    <w:p>
      <w:pPr>
        <w:spacing w:before="0" w:after="80"/>
      </w:pPr>
      <w:r>
        <w:rPr>
          <w:sz w:val="22"/>
        </w:rPr>
        <w:t>Body copy should include 1-2 sentences per neighborhood about commute/access ("our Jamaica clinic on 161st St is a 5-minute walk from Sutphin Blvd – Archer Av…").</w:t>
      </w:r>
    </w:p>
    <w:p>
      <w:pPr>
        <w:spacing w:before="200" w:after="40"/>
      </w:pPr>
      <w:r>
        <w:rPr>
          <w:b/>
          <w:color w:val="C97A17"/>
          <w:sz w:val="25"/>
        </w:rPr>
        <w:t>3. Add LocalBusiness schema with the actual Queens NAP</w:t>
      </w:r>
    </w:p>
    <w:p>
      <w:pPr>
        <w:spacing w:before="0" w:after="80"/>
      </w:pPr>
      <w:r>
        <w:rPr>
          <w:sz w:val="22"/>
        </w:rPr>
        <w:t>Per HQDM Schema Markup SOP. Include:</w:t>
      </w:r>
    </w:p>
    <w:p>
      <w:pPr>
        <w:spacing w:after="40"/>
        <w:ind w:left="340" w:hanging="227"/>
      </w:pPr>
      <w:r>
        <w:rPr>
          <w:sz w:val="21"/>
        </w:rPr>
        <w:t xml:space="preserve">• </w:t>
      </w:r>
      <w:r>
        <w:rPr>
          <w:rFonts w:ascii="Consolas" w:hAnsi="Consolas"/>
          <w:sz w:val="21"/>
        </w:rPr>
        <w:t>@type</w:t>
      </w:r>
      <w:r>
        <w:rPr>
          <w:sz w:val="21"/>
        </w:rPr>
        <w:t>: MedicalBusiness + LocalBusiness</w:t>
      </w:r>
    </w:p>
    <w:p>
      <w:pPr>
        <w:spacing w:after="40"/>
        <w:ind w:left="340" w:hanging="227"/>
      </w:pPr>
      <w:r>
        <w:rPr>
          <w:sz w:val="21"/>
        </w:rPr>
        <w:t xml:space="preserve">• </w:t>
      </w:r>
      <w:r>
        <w:rPr>
          <w:rFonts w:ascii="Consolas" w:hAnsi="Consolas"/>
          <w:sz w:val="21"/>
        </w:rPr>
        <w:t>name</w:t>
      </w:r>
      <w:r>
        <w:rPr>
          <w:sz w:val="21"/>
        </w:rPr>
        <w:t>: "Arms Acres Outpatient - Queens"</w:t>
      </w:r>
    </w:p>
    <w:p>
      <w:pPr>
        <w:spacing w:after="40"/>
        <w:ind w:left="340" w:hanging="227"/>
      </w:pPr>
      <w:r>
        <w:rPr>
          <w:sz w:val="21"/>
        </w:rPr>
        <w:t xml:space="preserve">• </w:t>
      </w:r>
      <w:r>
        <w:rPr>
          <w:rFonts w:ascii="Consolas" w:hAnsi="Consolas"/>
          <w:sz w:val="21"/>
        </w:rPr>
        <w:t>address</w:t>
      </w:r>
      <w:r>
        <w:rPr>
          <w:sz w:val="21"/>
        </w:rPr>
        <w:t>: 90-02 161st St, Jamaica, NY 11432</w:t>
      </w:r>
    </w:p>
    <w:p>
      <w:pPr>
        <w:spacing w:after="40"/>
        <w:ind w:left="340" w:hanging="227"/>
      </w:pPr>
      <w:r>
        <w:rPr>
          <w:sz w:val="21"/>
        </w:rPr>
        <w:t xml:space="preserve">• </w:t>
      </w:r>
      <w:r>
        <w:rPr>
          <w:rFonts w:ascii="Consolas" w:hAnsi="Consolas"/>
          <w:sz w:val="21"/>
        </w:rPr>
        <w:t>telephone</w:t>
      </w:r>
      <w:r>
        <w:rPr>
          <w:sz w:val="21"/>
        </w:rPr>
        <w:t>: +17185201513</w:t>
      </w:r>
    </w:p>
    <w:p>
      <w:pPr>
        <w:spacing w:after="40"/>
        <w:ind w:left="340" w:hanging="227"/>
      </w:pPr>
      <w:r>
        <w:rPr>
          <w:sz w:val="21"/>
        </w:rPr>
        <w:t xml:space="preserve">• </w:t>
      </w:r>
      <w:r>
        <w:rPr>
          <w:rFonts w:ascii="Consolas" w:hAnsi="Consolas"/>
          <w:sz w:val="21"/>
        </w:rPr>
        <w:t>geo</w:t>
      </w:r>
      <w:r>
        <w:rPr>
          <w:sz w:val="21"/>
        </w:rPr>
        <w:t>: 40.749, -73.857 (Queens OP pin coord)</w:t>
      </w:r>
    </w:p>
    <w:p>
      <w:pPr>
        <w:spacing w:after="40"/>
        <w:ind w:left="340" w:hanging="227"/>
      </w:pPr>
      <w:r>
        <w:rPr>
          <w:sz w:val="21"/>
        </w:rPr>
        <w:t xml:space="preserve">• </w:t>
      </w:r>
      <w:r>
        <w:rPr>
          <w:rFonts w:ascii="Consolas" w:hAnsi="Consolas"/>
          <w:sz w:val="21"/>
        </w:rPr>
        <w:t>openingHours</w:t>
      </w:r>
    </w:p>
    <w:p>
      <w:pPr>
        <w:spacing w:after="40"/>
        <w:ind w:left="340" w:hanging="227"/>
      </w:pPr>
      <w:r>
        <w:rPr>
          <w:sz w:val="21"/>
        </w:rPr>
        <w:t xml:space="preserve">• </w:t>
      </w:r>
      <w:r>
        <w:rPr>
          <w:rFonts w:ascii="Consolas" w:hAnsi="Consolas"/>
          <w:sz w:val="21"/>
        </w:rPr>
        <w:t>areaServed</w:t>
      </w:r>
      <w:r>
        <w:rPr>
          <w:sz w:val="21"/>
        </w:rPr>
        <w:t>: list the 6 neighborhoods</w:t>
      </w:r>
    </w:p>
    <w:p>
      <w:pPr>
        <w:spacing w:after="40"/>
        <w:ind w:left="340" w:hanging="227"/>
      </w:pPr>
      <w:r>
        <w:rPr>
          <w:sz w:val="21"/>
        </w:rPr>
        <w:t xml:space="preserve">• </w:t>
      </w:r>
      <w:r>
        <w:rPr>
          <w:rFonts w:ascii="Consolas" w:hAnsi="Consolas"/>
          <w:sz w:val="21"/>
        </w:rPr>
        <w:t>medicalSpecialty</w:t>
      </w:r>
      <w:r>
        <w:rPr>
          <w:sz w:val="21"/>
        </w:rPr>
        <w:t>: ["AddictionMedicine", "Psychiatric"]</w:t>
      </w:r>
    </w:p>
    <w:p>
      <w:pPr>
        <w:spacing w:after="40"/>
        <w:ind w:left="340" w:hanging="227"/>
      </w:pPr>
      <w:r>
        <w:rPr>
          <w:sz w:val="21"/>
        </w:rPr>
        <w:t xml:space="preserve">• </w:t>
      </w:r>
      <w:r>
        <w:rPr>
          <w:rFonts w:ascii="Consolas" w:hAnsi="Consolas"/>
          <w:sz w:val="21"/>
        </w:rPr>
        <w:t>paymentAccepted</w:t>
      </w:r>
      <w:r>
        <w:rPr>
          <w:sz w:val="21"/>
        </w:rPr>
        <w:t>: ["Medicaid", "Medicare", "Aetna", "Tricare", "Cigna", "BCBS"]</w:t>
      </w:r>
    </w:p>
    <w:p>
      <w:pPr>
        <w:spacing w:after="40"/>
        <w:ind w:left="340" w:hanging="227"/>
      </w:pPr>
      <w:r>
        <w:rPr>
          <w:sz w:val="21"/>
        </w:rPr>
        <w:t xml:space="preserve">• </w:t>
      </w:r>
      <w:r>
        <w:rPr>
          <w:rFonts w:ascii="Consolas" w:hAnsi="Consolas"/>
          <w:sz w:val="21"/>
        </w:rPr>
        <w:t>parentOrganization</w:t>
      </w:r>
      <w:r>
        <w:rPr>
          <w:sz w:val="21"/>
        </w:rPr>
        <w:t>: Arms Acres</w:t>
      </w:r>
    </w:p>
    <w:p>
      <w:pPr>
        <w:spacing w:before="0" w:after="80"/>
      </w:pPr>
      <w:r>
        <w:rPr>
          <w:sz w:val="22"/>
        </w:rPr>
        <w:t>Pre-deploy: 3-layer schema validation gate (Wikidata Q-ID verifier + schema.org property validator + manual paste into validator.schema.org/RRT).</w:t>
      </w:r>
    </w:p>
    <w:p>
      <w:pPr>
        <w:spacing w:before="200" w:after="40"/>
      </w:pPr>
      <w:r>
        <w:rPr>
          <w:b/>
          <w:color w:val="C97A17"/>
          <w:sz w:val="25"/>
        </w:rPr>
        <w:t>4. Integrate the 4-input intake form (gated on CP-01 outcome)</w:t>
      </w:r>
    </w:p>
    <w:p>
      <w:pPr>
        <w:spacing w:before="0" w:after="80"/>
      </w:pPr>
      <w:r>
        <w:rPr>
          <w:sz w:val="22"/>
        </w:rPr>
        <w:t>If CP-01 form deployment is approved by AA dev:</w:t>
      </w:r>
    </w:p>
    <w:p>
      <w:pPr>
        <w:spacing w:after="40"/>
        <w:ind w:left="340" w:hanging="227"/>
      </w:pPr>
      <w:r>
        <w:rPr>
          <w:sz w:val="21"/>
        </w:rPr>
        <w:t>• Drop the same 4-input form (Name / Email / Phone / Message) from homepage + /contact + /admissions onto this page</w:t>
      </w:r>
    </w:p>
    <w:p>
      <w:pPr>
        <w:spacing w:after="40"/>
        <w:ind w:left="340" w:hanging="227"/>
      </w:pPr>
      <w:r>
        <w:rPr>
          <w:sz w:val="21"/>
        </w:rPr>
        <w:t>• GA4 form_submit event firing per URL</w:t>
      </w:r>
    </w:p>
    <w:p>
      <w:pPr>
        <w:spacing w:after="40"/>
        <w:ind w:left="340" w:hanging="227"/>
      </w:pPr>
      <w:r>
        <w:rPr>
          <w:sz w:val="21"/>
        </w:rPr>
        <w:t>• Position above-the-fold alongside the existing "Start Your Treatment Here" button OR as a sticky-side widget</w:t>
      </w:r>
    </w:p>
    <w:p>
      <w:pPr>
        <w:spacing w:before="0" w:after="80"/>
      </w:pPr>
      <w:r>
        <w:rPr>
          <w:sz w:val="22"/>
        </w:rPr>
        <w:t>If CP-01 not approved by M2:</w:t>
      </w:r>
    </w:p>
    <w:p>
      <w:pPr>
        <w:spacing w:after="40"/>
        <w:ind w:left="340" w:hanging="227"/>
      </w:pPr>
      <w:r>
        <w:rPr>
          <w:sz w:val="21"/>
        </w:rPr>
        <w:t>• At minimum, verify GA4 tap-to-call event firing on the existing Call Now button</w:t>
      </w:r>
    </w:p>
    <w:p>
      <w:pPr>
        <w:spacing w:after="40"/>
        <w:ind w:left="340" w:hanging="227"/>
      </w:pPr>
      <w:r>
        <w:rPr>
          <w:sz w:val="21"/>
        </w:rPr>
        <w:t>• Document the conversion-tracking state for Marija's correlation rollup</w:t>
      </w:r>
    </w:p>
    <w:p>
      <w:pPr>
        <w:spacing w:before="200" w:after="40"/>
      </w:pPr>
      <w:r>
        <w:rPr>
          <w:b/>
          <w:color w:val="C97A17"/>
          <w:sz w:val="25"/>
        </w:rPr>
        <w:t>5. Content depth — match the rebuilt page to a 1000-word minimum</w:t>
      </w:r>
    </w:p>
    <w:p>
      <w:pPr>
        <w:spacing w:before="0" w:after="80"/>
      </w:pPr>
      <w:r>
        <w:rPr>
          <w:sz w:val="22"/>
        </w:rPr>
        <w:t>Sections (in addition to existing hero + NAP + hours):</w:t>
      </w:r>
    </w:p>
    <w:p>
      <w:pPr>
        <w:spacing w:after="40"/>
        <w:ind w:left="340" w:hanging="227"/>
      </w:pPr>
      <w:r>
        <w:rPr>
          <w:sz w:val="21"/>
        </w:rPr>
        <w:t xml:space="preserve">• </w:t>
      </w:r>
      <w:r>
        <w:rPr>
          <w:b/>
          <w:sz w:val="21"/>
        </w:rPr>
        <w:t>What we treat (Queens-specific intake)</w:t>
      </w:r>
      <w:r>
        <w:rPr>
          <w:sz w:val="21"/>
        </w:rPr>
        <w:t xml:space="preserve"> — outpatient SUD treatment, MAT continuation, IOP, dual-dx OP. Reference the GBP services-list items (per LG-INPC-02 mapping).</w:t>
      </w:r>
    </w:p>
    <w:p>
      <w:pPr>
        <w:spacing w:after="40"/>
        <w:ind w:left="340" w:hanging="227"/>
      </w:pPr>
      <w:r>
        <w:rPr>
          <w:sz w:val="21"/>
        </w:rPr>
        <w:t xml:space="preserve">• </w:t>
      </w:r>
      <w:r>
        <w:rPr>
          <w:b/>
          <w:sz w:val="21"/>
        </w:rPr>
        <w:t>Insurance accepted</w:t>
      </w:r>
      <w:r>
        <w:rPr>
          <w:sz w:val="21"/>
        </w:rPr>
        <w:t xml:space="preserve"> — Medicaid + Medicare + Aetna + Tricare + Cigna + BCBS (mirror the GBP description)</w:t>
      </w:r>
    </w:p>
    <w:p>
      <w:pPr>
        <w:spacing w:after="40"/>
        <w:ind w:left="340" w:hanging="227"/>
      </w:pPr>
      <w:r>
        <w:rPr>
          <w:sz w:val="21"/>
        </w:rPr>
        <w:t xml:space="preserve">• </w:t>
      </w:r>
      <w:r>
        <w:rPr>
          <w:b/>
          <w:sz w:val="21"/>
        </w:rPr>
        <w:t>Neighborhoods served</w:t>
      </w:r>
      <w:r>
        <w:rPr>
          <w:sz w:val="21"/>
        </w:rPr>
        <w:t xml:space="preserve"> — 6 enumerated above with 1-2 sentence access notes</w:t>
      </w:r>
    </w:p>
    <w:p>
      <w:pPr>
        <w:spacing w:after="40"/>
        <w:ind w:left="340" w:hanging="227"/>
      </w:pPr>
      <w:r>
        <w:rPr>
          <w:sz w:val="21"/>
        </w:rPr>
        <w:t xml:space="preserve">• </w:t>
      </w:r>
      <w:r>
        <w:rPr>
          <w:b/>
          <w:sz w:val="21"/>
        </w:rPr>
        <w:t>What to expect at your first visit</w:t>
      </w:r>
      <w:r>
        <w:rPr>
          <w:sz w:val="21"/>
        </w:rPr>
        <w:t xml:space="preserve"> — admission process + intake intake form vs phone</w:t>
      </w:r>
    </w:p>
    <w:p>
      <w:pPr>
        <w:spacing w:after="40"/>
        <w:ind w:left="340" w:hanging="227"/>
      </w:pPr>
      <w:r>
        <w:rPr>
          <w:sz w:val="21"/>
        </w:rPr>
        <w:t xml:space="preserve">• </w:t>
      </w:r>
      <w:r>
        <w:rPr>
          <w:b/>
          <w:sz w:val="21"/>
        </w:rPr>
        <w:t>Connection to inpatient + continuum of care</w:t>
      </w:r>
      <w:r>
        <w:rPr>
          <w:sz w:val="21"/>
        </w:rPr>
        <w:t xml:space="preserve"> — internal link to </w:t>
      </w:r>
      <w:r>
        <w:rPr>
          <w:rFonts w:ascii="Consolas" w:hAnsi="Consolas"/>
          <w:sz w:val="21"/>
        </w:rPr>
        <w:t>/inpatient/adult-rehabilitation</w:t>
      </w:r>
      <w:r>
        <w:rPr>
          <w:sz w:val="21"/>
        </w:rPr>
        <w:t xml:space="preserve"> + </w:t>
      </w:r>
      <w:r>
        <w:rPr>
          <w:rFonts w:ascii="Consolas" w:hAnsi="Consolas"/>
          <w:sz w:val="21"/>
        </w:rPr>
        <w:t>/inpatient/detox-program</w:t>
      </w:r>
      <w:r>
        <w:rPr>
          <w:sz w:val="21"/>
        </w:rPr>
        <w:t xml:space="preserve"> for patients who may step up to inpatient</w:t>
      </w:r>
    </w:p>
    <w:p>
      <w:pPr>
        <w:spacing w:after="40"/>
        <w:ind w:left="340" w:hanging="227"/>
      </w:pPr>
      <w:r>
        <w:rPr>
          <w:sz w:val="21"/>
        </w:rPr>
        <w:t xml:space="preserve">• </w:t>
      </w:r>
      <w:r>
        <w:rPr>
          <w:b/>
          <w:sz w:val="21"/>
        </w:rPr>
        <w:t>MAT support</w:t>
      </w:r>
      <w:r>
        <w:rPr>
          <w:sz w:val="21"/>
        </w:rPr>
        <w:t xml:space="preserve"> — internal link to </w:t>
      </w:r>
      <w:r>
        <w:rPr>
          <w:rFonts w:ascii="Consolas" w:hAnsi="Consolas"/>
          <w:sz w:val="21"/>
        </w:rPr>
        <w:t>/service/medication-assisted-therapy</w:t>
      </w:r>
    </w:p>
    <w:p>
      <w:pPr>
        <w:spacing w:after="40"/>
        <w:ind w:left="340" w:hanging="227"/>
      </w:pPr>
      <w:r>
        <w:rPr>
          <w:sz w:val="21"/>
        </w:rPr>
        <w:t xml:space="preserve">• </w:t>
      </w:r>
      <w:r>
        <w:rPr>
          <w:b/>
          <w:sz w:val="21"/>
        </w:rPr>
        <w:t>Family support</w:t>
      </w:r>
      <w:r>
        <w:rPr>
          <w:sz w:val="21"/>
        </w:rPr>
        <w:t xml:space="preserve"> — internal link to </w:t>
      </w:r>
      <w:r>
        <w:rPr>
          <w:rFonts w:ascii="Consolas" w:hAnsi="Consolas"/>
          <w:sz w:val="21"/>
        </w:rPr>
        <w:t>/service/alumni</w:t>
      </w:r>
      <w:r>
        <w:rPr>
          <w:sz w:val="21"/>
        </w:rPr>
        <w:t xml:space="preserve"> + family-program content</w:t>
      </w:r>
    </w:p>
    <w:p>
      <w:pPr>
        <w:spacing w:before="200" w:after="40"/>
      </w:pPr>
      <w:r>
        <w:rPr>
          <w:b/>
          <w:color w:val="C97A17"/>
          <w:sz w:val="25"/>
        </w:rPr>
        <w:t>6. Internal-link inbound</w:t>
      </w:r>
    </w:p>
    <w:p>
      <w:pPr>
        <w:spacing w:before="0" w:after="80"/>
      </w:pPr>
      <w:r>
        <w:rPr>
          <w:sz w:val="22"/>
        </w:rPr>
        <w:t>The page should receive internal links from:</w:t>
      </w:r>
    </w:p>
    <w:p>
      <w:pPr>
        <w:spacing w:after="40"/>
        <w:ind w:left="340" w:hanging="227"/>
      </w:pPr>
      <w:r>
        <w:rPr>
          <w:sz w:val="21"/>
        </w:rPr>
        <w:t>• Homepage (Locations section)</w:t>
      </w:r>
    </w:p>
    <w:p>
      <w:pPr>
        <w:spacing w:after="40"/>
        <w:ind w:left="340" w:hanging="227"/>
      </w:pPr>
      <w:r>
        <w:rPr>
          <w:sz w:val="21"/>
        </w:rPr>
        <w:t xml:space="preserve">• </w:t>
      </w:r>
      <w:r>
        <w:rPr>
          <w:rFonts w:ascii="Consolas" w:hAnsi="Consolas"/>
          <w:sz w:val="21"/>
        </w:rPr>
        <w:t>/outpatient</w:t>
      </w:r>
      <w:r>
        <w:rPr>
          <w:sz w:val="21"/>
        </w:rPr>
        <w:t xml:space="preserve"> parent hub</w:t>
      </w:r>
    </w:p>
    <w:p>
      <w:pPr>
        <w:spacing w:after="40"/>
        <w:ind w:left="340" w:hanging="227"/>
      </w:pPr>
      <w:r>
        <w:rPr>
          <w:sz w:val="21"/>
        </w:rPr>
        <w:t xml:space="preserve">• </w:t>
      </w:r>
      <w:r>
        <w:rPr>
          <w:rFonts w:ascii="Consolas" w:hAnsi="Consolas"/>
          <w:sz w:val="21"/>
        </w:rPr>
        <w:t>/areas-served</w:t>
      </w:r>
      <w:r>
        <w:rPr>
          <w:sz w:val="21"/>
        </w:rPr>
        <w:t xml:space="preserve"> (if rebuilt — see /service-areas current state)</w:t>
      </w:r>
    </w:p>
    <w:p>
      <w:pPr>
        <w:spacing w:after="40"/>
        <w:ind w:left="340" w:hanging="227"/>
      </w:pPr>
      <w:r>
        <w:rPr>
          <w:sz w:val="21"/>
        </w:rPr>
        <w:t>• 2-3 /suburb/* Queens-area pages flagged in SA-01 audit decision = REDIRECT or UPGRADE (per the redirect-target column)</w:t>
      </w:r>
    </w:p>
    <w:p>
      <w:pPr>
        <w:spacing w:after="40"/>
        <w:ind w:left="340" w:hanging="227"/>
      </w:pPr>
      <w:r>
        <w:rPr>
          <w:sz w:val="21"/>
        </w:rPr>
        <w:t xml:space="preserve">• New </w:t>
      </w:r>
      <w:r>
        <w:rPr>
          <w:rFonts w:ascii="Consolas" w:hAnsi="Consolas"/>
          <w:sz w:val="21"/>
        </w:rPr>
        <w:t>/alcohol-rehab-new-york</w:t>
      </w:r>
      <w:r>
        <w:rPr>
          <w:sz w:val="21"/>
        </w:rPr>
        <w:t xml:space="preserve"> + </w:t>
      </w:r>
      <w:r>
        <w:rPr>
          <w:rFonts w:ascii="Consolas" w:hAnsi="Consolas"/>
          <w:sz w:val="21"/>
        </w:rPr>
        <w:t>/detox-new-york</w:t>
      </w:r>
      <w:r>
        <w:rPr>
          <w:sz w:val="21"/>
        </w:rPr>
        <w:t xml:space="preserve"> pages once they ship (SP-01 + SP-02) — Queens OP listed in the location enumeration</w:t>
      </w:r>
    </w:p>
    <w:p>
      <w:pPr>
        <w:spacing w:before="160" w:after="160"/>
        <w:pBdr>
          <w:bottom w:val="single" w:sz="6" w:color="CCCCCC"/>
        </w:pBdr>
      </w:pPr>
    </w:p>
    <w:p>
      <w:pPr>
        <w:spacing w:before="280" w:after="80"/>
      </w:pPr>
      <w:r>
        <w:rPr>
          <w:b/>
          <w:color w:val="0B1726"/>
          <w:sz w:val="30"/>
        </w:rPr>
        <w:t>Acceptance criteria</w:t>
      </w:r>
    </w:p>
    <w:p>
      <w:pPr>
        <w:spacing w:after="40"/>
        <w:ind w:left="340" w:hanging="227"/>
      </w:pPr>
      <w:r>
        <w:rPr>
          <w:sz w:val="21"/>
        </w:rPr>
        <w:t>• [ ] Map widget renders Queens address (90-02 161st St)</w:t>
      </w:r>
    </w:p>
    <w:p>
      <w:pPr>
        <w:spacing w:after="40"/>
        <w:ind w:left="340" w:hanging="227"/>
      </w:pPr>
      <w:r>
        <w:rPr>
          <w:sz w:val="21"/>
        </w:rPr>
        <w:t>• [ ] Neighborhood block live with ≥6 named neighborhoods</w:t>
      </w:r>
    </w:p>
    <w:p>
      <w:pPr>
        <w:spacing w:after="40"/>
        <w:ind w:left="340" w:hanging="227"/>
      </w:pPr>
      <w:r>
        <w:rPr>
          <w:sz w:val="21"/>
        </w:rPr>
        <w:t>• [ ] LocalBusiness schema validates in Rich Results Test with Queens NAP + geo</w:t>
      </w:r>
    </w:p>
    <w:p>
      <w:pPr>
        <w:spacing w:after="40"/>
        <w:ind w:left="340" w:hanging="227"/>
      </w:pPr>
      <w:r>
        <w:rPr>
          <w:sz w:val="21"/>
        </w:rPr>
        <w:t>• [ ] Word count ≥1000 (up from ~300 today)</w:t>
      </w:r>
    </w:p>
    <w:p>
      <w:pPr>
        <w:spacing w:after="40"/>
        <w:ind w:left="340" w:hanging="227"/>
      </w:pPr>
      <w:r>
        <w:rPr>
          <w:sz w:val="21"/>
        </w:rPr>
        <w:t>• [ ] Internal-link inbound count ≥5</w:t>
      </w:r>
    </w:p>
    <w:p>
      <w:pPr>
        <w:spacing w:after="40"/>
        <w:ind w:left="340" w:hanging="227"/>
      </w:pPr>
      <w:r>
        <w:rPr>
          <w:sz w:val="21"/>
        </w:rPr>
        <w:t>• [ ] Form deployed if CP-01 recommends (or tracking fix verified if CP-01 falls back to tap-to-call)</w:t>
      </w:r>
    </w:p>
    <w:p>
      <w:pPr>
        <w:spacing w:after="40"/>
        <w:ind w:left="340" w:hanging="227"/>
      </w:pPr>
      <w:r>
        <w:rPr>
          <w:sz w:val="21"/>
        </w:rPr>
        <w:t>• [ ] GSC URL Inspection re-crawl requested post-deploy</w:t>
      </w:r>
    </w:p>
    <w:p>
      <w:pPr>
        <w:spacing w:after="40"/>
        <w:ind w:left="340" w:hanging="227"/>
      </w:pPr>
      <w:r>
        <w:rPr>
          <w:sz w:val="21"/>
        </w:rPr>
        <w:t>• [ ] M3 Maps re-pull (LG-INF-02) measures whether the rebuild moves the cell-distribution from 12-25% top-3 to a higher band</w:t>
      </w:r>
    </w:p>
    <w:p>
      <w:pPr>
        <w:spacing w:before="160" w:after="160"/>
        <w:pBdr>
          <w:bottom w:val="single" w:sz="6" w:color="CCCCCC"/>
        </w:pBdr>
      </w:pPr>
    </w:p>
    <w:p>
      <w:pPr>
        <w:spacing w:before="280" w:after="80"/>
      </w:pPr>
      <w:r>
        <w:rPr>
          <w:b/>
          <w:color w:val="0B1726"/>
          <w:sz w:val="30"/>
        </w:rPr>
        <w:t>Why this matters</w:t>
      </w:r>
    </w:p>
    <w:p>
      <w:pPr>
        <w:spacing w:before="0" w:after="80"/>
      </w:pPr>
      <w:r>
        <w:rPr>
          <w:sz w:val="22"/>
        </w:rPr>
        <w:t>The Queens OP page is the destination for two things:</w:t>
      </w:r>
    </w:p>
    <w:p>
      <w:pPr>
        <w:spacing w:after="40"/>
        <w:ind w:left="340" w:hanging="227"/>
      </w:pPr>
      <w:r>
        <w:rPr>
          <w:sz w:val="21"/>
        </w:rPr>
        <w:t>1. Maps Pack clicks at the Jamaica Queens grid (currently 100% top-20 / 93-95% top-10 — proximity-bound coverage)</w:t>
      </w:r>
    </w:p>
    <w:p>
      <w:pPr>
        <w:spacing w:after="40"/>
        <w:ind w:left="340" w:hanging="227"/>
      </w:pPr>
      <w:r>
        <w:rPr>
          <w:sz w:val="21"/>
        </w:rPr>
        <w:t>2. Organic queries with Queens / NYC intent</w:t>
      </w:r>
    </w:p>
    <w:p>
      <w:pPr>
        <w:spacing w:before="0" w:after="80"/>
      </w:pPr>
      <w:r>
        <w:rPr>
          <w:sz w:val="22"/>
        </w:rPr>
        <w:t>Both of those click streams currently land on a page that says "21 Old Rte 6 Carmel Hamlet" on its map. That's the single biggest user-trust kill. Fixing it is the credibility floor before any rank-pushing work on this pin makes sense.</w:t>
      </w:r>
    </w:p>
    <w:p>
      <w:pPr>
        <w:spacing w:before="160" w:after="160"/>
        <w:pBdr>
          <w:bottom w:val="single" w:sz="6" w:color="CCCCCC"/>
        </w:pBdr>
      </w:pPr>
    </w:p>
    <w:p>
      <w:pPr>
        <w:spacing w:before="0" w:after="80"/>
      </w:pPr>
      <w:r>
        <w:rPr>
          <w:i/>
          <w:sz w:val="22"/>
        </w:rPr>
        <w:t>Companion to task `SP-04` in `Arms_Acres_3Month_Tasks.csv`.</w:t>
      </w:r>
    </w:p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