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2A44"/>
          <w:sz w:val="40"/>
        </w:rPr>
        <w:t>CN-03 — Rochester CRO Diagnosis Brief</w:t>
      </w:r>
    </w:p>
    <w:p>
      <w:r>
        <w:rPr>
          <w:b/>
        </w:rPr>
        <w:t>Page:</w:t>
      </w:r>
      <w:r>
        <w:t xml:space="preserve"> /outpatient/rochester</w:t>
      </w:r>
    </w:p>
    <w:p>
      <w:r>
        <w:rPr>
          <w:b/>
        </w:rPr>
        <w:t>Owner:</w:t>
      </w:r>
      <w:r>
        <w:t xml:space="preserve"> Marija (Reporting/CRO) + Aleksandar</w:t>
      </w:r>
    </w:p>
    <w:p>
      <w:r>
        <w:rPr>
          <w:b/>
        </w:rPr>
        <w:t>Month:</w:t>
      </w:r>
      <w:r>
        <w:t xml:space="preserve"> M1 (output feeds SP-05 Rochester rebuild in M3)</w:t>
      </w:r>
    </w:p>
    <w:p>
      <w:r>
        <w:rPr>
          <w:b/>
        </w:rPr>
        <w:t>Status:</w:t>
      </w:r>
      <w:r>
        <w:t xml:space="preserve"> Brief — replace with diagnosis findings after GA4 funnel diff runs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The Rochester paradox</w:t>
      </w:r>
    </w:p>
    <w:p>
      <w:r>
        <w:t>Rochester is the highest-impression outpatient page on the site but the worst-converting one.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Rochester</w:t>
            </w:r>
          </w:p>
        </w:tc>
        <w:tc>
          <w:tcPr>
            <w:tcW w:type="dxa" w:w="288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Site average (6 outpatient pages)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GSC impressions 365d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51,508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~30,300 (highest by a margin)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GSC clicks 365d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~365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GSC position (page-level avg)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9.36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~8.1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GSC CTR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0.819%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~1.1%</w:t>
            </w:r>
            <w:r>
              <w:rPr>
                <w:sz w:val="18"/>
              </w:rPr>
              <w:t xml:space="preserve"> (Rochester is the worst)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GBP rating × 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2.7★ × 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3.5★ × 27 (Rochester has the most reviews + lowest rating combo)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GBP 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 average</w:t>
            </w:r>
          </w:p>
        </w:tc>
      </w:tr>
    </w:tbl>
    <w:p/>
    <w:p>
      <w:r>
        <w:rPr>
          <w:b/>
        </w:rPr>
        <w:t>Compare Glens Falls</w:t>
      </w:r>
      <w:r>
        <w:t xml:space="preserve"> as the counter-example: 15,672 imp at pos 10.04 but </w:t>
      </w:r>
      <w:r>
        <w:rPr>
          <w:b/>
        </w:rPr>
        <w:t>1.627% CTR</w:t>
      </w:r>
      <w:r>
        <w:t xml:space="preserve"> — twice Rochester's CTR at slightly worse position. The lever isn't position; it's everything that happens after the user lands.</w:t>
      </w:r>
    </w:p>
    <w:p>
      <w:pPr>
        <w:spacing w:before="280" w:after="120"/>
      </w:pPr>
      <w:r>
        <w:rPr>
          <w:b/>
          <w:color w:val="1F2A44"/>
          <w:sz w:val="30"/>
        </w:rPr>
        <w:t>Query-level data (180d)</w:t>
      </w:r>
    </w:p>
    <w:p>
      <w:r>
        <w:t>Verified via GSC queries export: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Imp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Clicks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Avg position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outpatient rehab rochester 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3.28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2.92%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drug rehab rochester 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4.46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1.06%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rehab rochester 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9.18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1.46%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rehabs in rochester 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9.21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1.64%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inpatient rehab rochester 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11.42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3.51%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alcohol rehab rochester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12.20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drug rehab rochester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19.63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rehab facilities rochester 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4.45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alcohol rehab rochester 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8.55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0.00%</w:t>
            </w:r>
          </w:p>
        </w:tc>
      </w:tr>
    </w:tbl>
    <w:p/>
    <w:p>
      <w:r>
        <w:rPr>
          <w:b/>
        </w:rPr>
        <w:t>The pattern:</w:t>
      </w:r>
      <w:r>
        <w:t xml:space="preserve"> When Rochester ranks top-5 it converts (3.28 → 2.92%). When it ranks 9+ it bleeds. The 51K aggregate impressions are dragged down by long-tail mid-position queries where users see Conifer in the SERP next to better-rated competitors and click elsewhere.</w:t>
      </w:r>
    </w:p>
    <w:p>
      <w:pPr>
        <w:spacing w:before="280" w:after="120"/>
      </w:pPr>
      <w:r>
        <w:rPr>
          <w:b/>
          <w:color w:val="1F2A44"/>
          <w:sz w:val="30"/>
        </w:rPr>
        <w:t>Hypothesis tree (to test in GA4 funnel diff)</w:t>
      </w:r>
    </w:p>
    <w:p>
      <w:r>
        <w:rPr>
          <w:b/>
        </w:rPr>
        <w:t>H1 — Rating drag on click-through (most likely)</w:t>
      </w:r>
    </w:p>
    <w:p>
      <w:pPr>
        <w:pStyle w:val="ListBullet"/>
      </w:pPr>
      <w:r>
        <w:t>Rochester GBP is 2.7★ × 36. Three-star floor with 36 reviews = high social proof of a bad experience.</w:t>
      </w:r>
    </w:p>
    <w:p>
      <w:pPr>
        <w:pStyle w:val="ListBullet"/>
      </w:pPr>
      <w:r>
        <w:t>Users see the rating in the SERP rich snippet and skip the result.</w:t>
      </w:r>
    </w:p>
    <w:p>
      <w:pPr>
        <w:pStyle w:val="ListBullet"/>
      </w:pPr>
      <w:r>
        <w:rPr>
          <w:b/>
        </w:rPr>
        <w:t>Test:</w:t>
      </w:r>
      <w:r>
        <w:t xml:space="preserve"> Compare Rochester organic CTR to Glens Falls (3.9★ × 25) at similar positions — same query type, different rating, different CTR.</w:t>
      </w:r>
    </w:p>
    <w:p>
      <w:pPr>
        <w:pStyle w:val="ListBullet"/>
      </w:pPr>
      <w:r>
        <w:rPr>
          <w:b/>
        </w:rPr>
        <w:t>If confirmed:</w:t>
      </w:r>
      <w:r>
        <w:t xml:space="preserve"> rating-lift work (LG-UP-06 intake-side review velocity SOP) is the primary fix; on-page changes are secondary.</w:t>
      </w:r>
    </w:p>
    <w:p>
      <w:r>
        <w:rPr>
          <w:b/>
        </w:rPr>
        <w:t>H2 — Page architecture (intake form / hero / mobile rendering)</w:t>
      </w:r>
    </w:p>
    <w:p>
      <w:pPr>
        <w:pStyle w:val="ListBullet"/>
      </w:pPr>
      <w:r>
        <w:t>Page may not have an inline intake form (Plattsburgh has one — converts at 1.08% on similar position).</w:t>
      </w:r>
    </w:p>
    <w:p>
      <w:pPr>
        <w:pStyle w:val="ListBullet"/>
      </w:pPr>
      <w:r>
        <w:t>Hero may not lead with the right hook (transit access? sliding fee? insurance?).</w:t>
      </w:r>
    </w:p>
    <w:p>
      <w:pPr>
        <w:pStyle w:val="ListBullet"/>
      </w:pPr>
      <w:r>
        <w:t>Mobile rendering may bury the CTA.</w:t>
      </w:r>
    </w:p>
    <w:p>
      <w:pPr>
        <w:pStyle w:val="ListBullet"/>
      </w:pPr>
      <w:r>
        <w:rPr>
          <w:b/>
        </w:rPr>
        <w:t>Test:</w:t>
      </w:r>
      <w:r>
        <w:t xml:space="preserve"> GA4 page-level engagement metrics — scroll depth, time on page, mobile vs desktop conversion rate, form-impression rate if form exists.</w:t>
      </w:r>
    </w:p>
    <w:p>
      <w:pPr>
        <w:pStyle w:val="ListBullet"/>
      </w:pPr>
      <w:r>
        <w:rPr>
          <w:b/>
        </w:rPr>
        <w:t>If confirmed:</w:t>
      </w:r>
      <w:r>
        <w:t xml:space="preserve"> SP-05 rebuild ships with corrected architecture.</w:t>
      </w:r>
    </w:p>
    <w:p>
      <w:r>
        <w:rPr>
          <w:b/>
        </w:rPr>
        <w:t>H3 — Insurance / affordability friction</w:t>
      </w:r>
    </w:p>
    <w:p>
      <w:pPr>
        <w:pStyle w:val="ListBullet"/>
      </w:pPr>
      <w:r>
        <w:t>Rochester GBP rating pattern (2.7★ × 36) often correlates with affordability complaints in addiction vertical.</w:t>
      </w:r>
    </w:p>
    <w:p>
      <w:pPr>
        <w:pStyle w:val="ListBullet"/>
      </w:pPr>
      <w:r>
        <w:t>Page may not surface sliding-fee or insurance acceptance prominently enough.</w:t>
      </w:r>
    </w:p>
    <w:p>
      <w:pPr>
        <w:pStyle w:val="ListBullet"/>
      </w:pPr>
      <w:r>
        <w:rPr>
          <w:b/>
        </w:rPr>
        <w:t>Test:</w:t>
      </w:r>
      <w:r>
        <w:t xml:space="preserve"> Owner Ask #5 — confirm whether sliding fee is available at Rochester. Layer onto rebuild as a lead-position hook if yes.</w:t>
      </w:r>
    </w:p>
    <w:p>
      <w:r>
        <w:rPr>
          <w:b/>
        </w:rPr>
        <w:t>H4 — Geographic / catchment mismatch</w:t>
      </w:r>
    </w:p>
    <w:p>
      <w:pPr>
        <w:pStyle w:val="ListBullet"/>
      </w:pPr>
      <w:r>
        <w:t>"Rochester" is far from Glenville. Brand awareness in Rochester catchment may be weaker than in Capital Region.</w:t>
      </w:r>
    </w:p>
    <w:p>
      <w:pPr>
        <w:pStyle w:val="ListBullet"/>
      </w:pPr>
      <w:r>
        <w:t>Local trust signals (Monroe County, neighborhood context) may be thin.</w:t>
      </w:r>
    </w:p>
    <w:p>
      <w:pPr>
        <w:pStyle w:val="ListBullet"/>
      </w:pPr>
      <w:r>
        <w:rPr>
          <w:b/>
        </w:rPr>
        <w:t>Test:</w:t>
      </w:r>
      <w:r>
        <w:t xml:space="preserve"> Catchment-zoom GSC: which query modifiers convert at Rochester? Hyperlocal ("rochester ny") vs regional ("monroe county")?</w:t>
      </w:r>
    </w:p>
    <w:p>
      <w:pPr>
        <w:spacing w:before="280" w:after="120"/>
      </w:pPr>
      <w:r>
        <w:rPr>
          <w:b/>
          <w:color w:val="1F2A44"/>
          <w:sz w:val="30"/>
        </w:rPr>
        <w:t>Diagnostic methodology</w:t>
      </w:r>
    </w:p>
    <w:p>
      <w:pPr>
        <w:pStyle w:val="ListNumber"/>
      </w:pPr>
      <w:r>
        <w:rPr>
          <w:b/>
        </w:rPr>
        <w:t>GA4 funnel diff</w:t>
      </w:r>
      <w:r>
        <w:t xml:space="preserve"> — Rochester sessions → conversion drop-off pattern. Identify drop-off step (hero engagement → scroll → form impression → form submit).</w:t>
      </w:r>
    </w:p>
    <w:p>
      <w:pPr>
        <w:pStyle w:val="ListNumber"/>
      </w:pPr>
      <w:r>
        <w:rPr>
          <w:b/>
        </w:rPr>
        <w:t>Compare Rochester vs Glens Falls vs Plattsburgh</w:t>
      </w:r>
      <w:r>
        <w:t xml:space="preserve"> at the page-level: same template? Different hero? Form present/absent? Mobile differences?</w:t>
      </w:r>
    </w:p>
    <w:p>
      <w:pPr>
        <w:pStyle w:val="ListNumber"/>
      </w:pPr>
      <w:r>
        <w:rPr>
          <w:b/>
        </w:rPr>
        <w:t>Mobile vs desktop split</w:t>
      </w:r>
      <w:r>
        <w:t xml:space="preserve"> — Rochester sessions split by device. Hypothesis: mobile is the bleeding channel because the CTA is below-fold on mobile.</w:t>
      </w:r>
    </w:p>
    <w:p>
      <w:pPr>
        <w:pStyle w:val="ListNumber"/>
      </w:pPr>
      <w:r>
        <w:rPr>
          <w:b/>
        </w:rPr>
        <w:t>Time-of-day pattern</w:t>
      </w:r>
      <w:r>
        <w:t xml:space="preserve"> — addiction-vertical traffic peaks differ. Verify Rochester pattern matches the rest.</w:t>
      </w:r>
    </w:p>
    <w:p>
      <w:pPr>
        <w:pStyle w:val="ListNumber"/>
      </w:pPr>
      <w:r>
        <w:rPr>
          <w:b/>
        </w:rPr>
        <w:t>Bounce pattern</w:t>
      </w:r>
      <w:r>
        <w:t xml:space="preserve"> — high-bounce queries vs converting queries. Cross-reference with H1 (rating drag) — high-bounce queries should correlate with positions where users see GBP rating in SERP.</w:t>
      </w:r>
    </w:p>
    <w:p>
      <w:pPr>
        <w:spacing w:before="280" w:after="120"/>
      </w:pPr>
      <w:r>
        <w:rPr>
          <w:b/>
          <w:color w:val="1F2A44"/>
          <w:sz w:val="30"/>
        </w:rPr>
        <w:t>Output for SP-05 Rochester rebuild</w:t>
      </w:r>
    </w:p>
    <w:p>
      <w:r>
        <w:t>The brief output should specify:</w:t>
      </w:r>
    </w:p>
    <w:p>
      <w:pPr>
        <w:pStyle w:val="ListBullet"/>
      </w:pPr>
      <w:r>
        <w:rPr>
          <w:b/>
        </w:rPr>
        <w:t>Hero hook</w:t>
      </w:r>
      <w:r>
        <w:t xml:space="preserve"> (insurance / sliding fee / "confidential treatment" / transit / something else per diagnosis)</w:t>
      </w:r>
    </w:p>
    <w:p>
      <w:pPr>
        <w:pStyle w:val="ListBullet"/>
      </w:pPr>
      <w:r>
        <w:rPr>
          <w:b/>
        </w:rPr>
        <w:t>Section ordering</w:t>
      </w:r>
      <w:r>
        <w:t xml:space="preserve"> (insurance + sliding fee should lead if H3 confirmed)</w:t>
      </w:r>
    </w:p>
    <w:p>
      <w:pPr>
        <w:pStyle w:val="ListBullet"/>
      </w:pPr>
      <w:r>
        <w:rPr>
          <w:b/>
        </w:rPr>
        <w:t>Form placement</w:t>
      </w:r>
      <w:r>
        <w:t xml:space="preserve"> (above the fold + sticky bar on mobile if H2 confirmed)</w:t>
      </w:r>
    </w:p>
    <w:p>
      <w:pPr>
        <w:pStyle w:val="ListBullet"/>
      </w:pPr>
      <w:r>
        <w:rPr>
          <w:b/>
        </w:rPr>
        <w:t>Trust-signal density</w:t>
      </w:r>
      <w:r>
        <w:t xml:space="preserve"> (rating context, OASAS license, ATPA membership)</w:t>
      </w:r>
    </w:p>
    <w:p>
      <w:pPr>
        <w:pStyle w:val="ListBullet"/>
      </w:pPr>
      <w:r>
        <w:rPr>
          <w:b/>
        </w:rPr>
        <w:t>Mobile-specific tweaks</w:t>
      </w:r>
      <w:r>
        <w:t xml:space="preserve"> (sticky CTA, simplified hero)</w:t>
      </w:r>
    </w:p>
    <w:p>
      <w:pPr>
        <w:pStyle w:val="ListBullet"/>
      </w:pPr>
      <w:r>
        <w:rPr>
          <w:b/>
        </w:rPr>
        <w:t>Internal link cluster</w:t>
      </w:r>
      <w:r>
        <w:t xml:space="preserve"> (admissions page, sliding-fee FAQ, /services/medication-assisted-treatment)</w:t>
      </w:r>
    </w:p>
    <w:p>
      <w:pPr>
        <w:spacing w:before="280" w:after="120"/>
      </w:pPr>
      <w:r>
        <w:rPr>
          <w:b/>
          <w:color w:val="1F2A44"/>
          <w:sz w:val="30"/>
        </w:rPr>
        <w:t>Source data</w:t>
      </w:r>
    </w:p>
    <w:p>
      <w:pPr>
        <w:pStyle w:val="ListBullet"/>
      </w:pPr>
      <w:r>
        <w:t>exports/gsc/pages_last_365d.csv (page-level Rochester metrics)</w:t>
      </w:r>
    </w:p>
    <w:p>
      <w:pPr>
        <w:pStyle w:val="ListBullet"/>
      </w:pPr>
      <w:r>
        <w:t>exports/gsc/queries_last_180d.csv (query-level Rochester metrics)</w:t>
      </w:r>
    </w:p>
    <w:p>
      <w:pPr>
        <w:pStyle w:val="ListBullet"/>
      </w:pPr>
      <w:r>
        <w:t>exports/dataforseo/probe_additional_locations.json (Rochester GBP probe — 2.7★ × 36, 5 photos, spam-tier secondary categories)</w:t>
      </w:r>
    </w:p>
    <w:p>
      <w:pPr>
        <w:pStyle w:val="ListBullet"/>
      </w:pPr>
      <w:r>
        <w:t>exports/ga4/* (acquisition + engagement + conversion 30/90/180/365d)</w:t>
      </w:r>
    </w:p>
    <w:p>
      <w:pPr>
        <w:pStyle w:val="ListBullet"/>
      </w:pPr>
      <w:r>
        <w:t>Conifer_Park_Outpatient_Pages_Plan.xlsx (row=rochester — template for rebuild scope)</w:t>
      </w:r>
    </w:p>
    <w:p>
      <w:pPr>
        <w:pStyle w:val="ListBullet"/>
      </w:pPr>
      <w:r>
        <w:t>Conifer_Park_Owner_Conversation_Items.md #5 (sliding fee program — gates H3 fix)</w:t>
      </w:r>
    </w:p>
    <w:p>
      <w:pPr>
        <w:spacing w:before="280" w:after="120"/>
      </w:pPr>
      <w:r>
        <w:rPr>
          <w:b/>
          <w:color w:val="1F2A44"/>
          <w:sz w:val="30"/>
        </w:rPr>
        <w:t>Owner asks gated</w:t>
      </w:r>
    </w:p>
    <w:p>
      <w:pPr>
        <w:pStyle w:val="ListBullet"/>
      </w:pPr>
      <w:r>
        <w:rPr>
          <w:b/>
        </w:rPr>
        <w:t>#5 Sliding fee / self-pay program</w:t>
      </w:r>
      <w:r>
        <w:t xml:space="preserve"> — confirm availability + publishable details. Gates whether the Rochester rebuild can lead with affordability hook.</w:t>
      </w:r>
    </w:p>
    <w:p>
      <w:pPr>
        <w:spacing w:before="280" w:after="120"/>
      </w:pPr>
      <w:r>
        <w:rPr>
          <w:b/>
          <w:color w:val="1F2A44"/>
          <w:sz w:val="30"/>
        </w:rPr>
        <w:t>Acceptance</w:t>
      </w:r>
    </w:p>
    <w:p>
      <w:pPr>
        <w:pStyle w:val="ListBullet"/>
      </w:pPr>
      <w:r>
        <w:t>GA4 funnel diff complete (Rochester vs Glens Falls vs Plattsburgh page-level engagement)</w:t>
      </w:r>
    </w:p>
    <w:p>
      <w:pPr>
        <w:pStyle w:val="ListBullet"/>
      </w:pPr>
      <w:r>
        <w:t>Mobile vs desktop conversion split logged</w:t>
      </w:r>
    </w:p>
    <w:p>
      <w:pPr>
        <w:pStyle w:val="ListBullet"/>
      </w:pPr>
      <w:r>
        <w:t>Top-converting query vs bleeding-query CTR pattern documented</w:t>
      </w:r>
    </w:p>
    <w:p>
      <w:pPr>
        <w:pStyle w:val="ListBullet"/>
      </w:pPr>
      <w:r>
        <w:t>1-page page-redesign brief output for SP-05 Rochester row in Outpatient_Pages_Plan.xlsx</w:t>
      </w:r>
    </w:p>
    <w:p>
      <w:pPr>
        <w:pStyle w:val="ListBullet"/>
      </w:pPr>
      <w:r>
        <w:t>Hypothesis ranked (which H1-H4 is driving most of the CTR gap)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