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2A44"/>
          <w:sz w:val="40"/>
        </w:rPr>
        <w:t>Conifer Park — Owner Conversation Items (Q2 2026)</w:t>
      </w:r>
    </w:p>
    <w:p>
      <w:r>
        <w:rPr>
          <w:b/>
        </w:rPr>
        <w:t>Owner:</w:t>
      </w:r>
      <w:r>
        <w:t xml:space="preserve"> Aleksandar · </w:t>
      </w:r>
      <w:r>
        <w:rPr>
          <w:b/>
        </w:rPr>
        <w:t>Date:</w:t>
      </w:r>
      <w:r>
        <w:t xml:space="preserve"> 2026-05-14 · </w:t>
      </w:r>
      <w:r>
        <w:rPr>
          <w:b/>
        </w:rPr>
        <w:t>Phase:</w:t>
      </w:r>
      <w:r>
        <w:t xml:space="preserve"> Q2 strategy intake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i/>
          <w:color w:val="444444"/>
        </w:rPr>
        <w:t>Consolidated client-side asks gathered from the Q2 Custom Strategy. One call (or async batch) to close as many as possible. Items gated by owner are flagged in the 3-month task sheet with "Owner Ask #N".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1. GBP scope decision — confirmed: Glenville + Troy only</w:t>
      </w:r>
    </w:p>
    <w:p>
      <w:r>
        <w:rPr>
          <w:b/>
        </w:rPr>
        <w:t>Status (2026-05-15): DECIDED.</w:t>
      </w:r>
      <w:r>
        <w:t xml:space="preserve"> HQDM has GBP Manager access to Glenville Inpatient + Troy Outpatient. The 5 unmanaged pins (Schenectady, Glens Falls, Plattsburgh, Syracuse/Liverpool, Rochester) are out of scope for direct GBP work in Q2. Their issues (NAP, descriptions, photos, services, attributes, UTMs) are documented in </w:t>
      </w:r>
      <w:r>
        <w:rPr>
          <w:rFonts w:ascii="Consolas" w:hAnsi="Consolas"/>
          <w:sz w:val="20"/>
        </w:rPr>
        <w:t>Conifer_Park_GBP_Hygiene_Plan.xlsx</w:t>
      </w:r>
      <w:r>
        <w:t xml:space="preserve"> for the future when access opens.</w:t>
      </w:r>
    </w:p>
    <w:p>
      <w:r>
        <w:rPr>
          <w:b/>
        </w:rPr>
        <w:t>What stays in scope for unmanaged pins:</w:t>
      </w:r>
    </w:p>
    <w:p>
      <w:pPr>
        <w:pStyle w:val="ListBullet"/>
      </w:pPr>
      <w:r>
        <w:t xml:space="preserve">Site-side rebuilds of </w:t>
      </w:r>
      <w:r>
        <w:rPr>
          <w:rFonts w:ascii="Consolas" w:hAnsi="Consolas"/>
          <w:sz w:val="20"/>
        </w:rPr>
        <w:t>/outpatient/&lt;city&gt;/</w:t>
      </w:r>
      <w:r>
        <w:t xml:space="preserve"> location pages (SP-03 Schenectady · SP-05 Glens Falls + Syracuse + Rochester)</w:t>
      </w:r>
    </w:p>
    <w:p>
      <w:pPr>
        <w:pStyle w:val="ListBullet"/>
      </w:pPr>
      <w:r>
        <w:t>Off-page playbook targeting their page URLs + GBP coords (DAS / Blast / Sniper / RD100 / AI Articles / Cloud Page / NAP overlay / Driving Directions) — doesn't need GBP Manager access</w:t>
      </w:r>
    </w:p>
    <w:p>
      <w:pPr>
        <w:pStyle w:val="ListBullet"/>
      </w:pPr>
      <w:r>
        <w:t>Intake-side review velocity SOP (workflow at client facility, no GBP access needed)</w:t>
      </w:r>
    </w:p>
    <w:p>
      <w:pPr>
        <w:pStyle w:val="ListBullet"/>
      </w:pPr>
      <w:r>
        <w:t>LD passive monitoring of public SERP</w:t>
      </w:r>
    </w:p>
    <w:p>
      <w:r>
        <w:rPr>
          <w:b/>
        </w:rPr>
        <w:t>No ask</w:t>
      </w:r>
      <w:r>
        <w:t xml:space="preserve"> — flagged for principal awareness only.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2. CARF / Joint Commission / LegitScript / SAMHSA accreditation status</w:t>
      </w:r>
    </w:p>
    <w:p>
      <w:r>
        <w:t>The site has zero visible accreditation badges aside from OASAS Operating Certificate #10018. Site grep confirms absence of Joint Commission, CARF, and LegitScript references across homepage, about-us, admissions, inpatient, outpatient, and the 6 service pages.</w:t>
      </w:r>
    </w:p>
    <w:p>
      <w:r>
        <w:rPr>
          <w:b/>
        </w:rPr>
        <w:t>Ask:</w:t>
      </w:r>
      <w:r>
        <w:t xml:space="preserve"> Per badge — (a) Joint Commission: accredited? if yes, what year? (b) CARF: certified? if yes, what level (CARF Center of Excellence vs basic)? (c) LegitScript: certified? (d) SAMHSA: confirm OTP designation still active.</w:t>
      </w:r>
    </w:p>
    <w:p>
      <w:r>
        <w:rPr>
          <w:b/>
        </w:rPr>
        <w:t>Why this matters:</w:t>
      </w:r>
      <w:r>
        <w:t xml:space="preserve"> Competitive set (Mountainside, Hazelden, American Addiction Centers) all carry visible accreditation. Surfpoint has CARF Center of Excellence. Conifer's apparent absence reads as a trust-signal gap to organic visitors and LLM citations.</w:t>
      </w:r>
    </w:p>
    <w:p>
      <w:r>
        <w:rPr>
          <w:b/>
        </w:rPr>
        <w:t>If pursuing rather than already having:</w:t>
      </w:r>
      <w:r>
        <w:t xml:space="preserve"> Owner timeline + estimated cost can stay private — we just need to know whether to plan badges as Q2 deployment (already have) or Q3+ pursuit (in flight).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3. Insurance payor list — public disclosure</w:t>
      </w:r>
    </w:p>
    <w:p>
      <w:r>
        <w:t>Admissions page currently says "Medicaid and most third-party payors". No payor logo wall, no named list.</w:t>
      </w:r>
    </w:p>
    <w:p>
      <w:r>
        <w:rPr>
          <w:b/>
        </w:rPr>
        <w:t>Ask:</w:t>
      </w:r>
      <w:r>
        <w:t xml:space="preserve"> Full insurance payor list for inpatient (Glenville) and per outpatient location. Plus any sliding-fee or self-pay program details (relevant for Rochester CRO work specifically — the 2.7★ × 36 rating gap correlates with affordability friction).</w:t>
      </w:r>
    </w:p>
    <w:p>
      <w:r>
        <w:rPr>
          <w:b/>
        </w:rPr>
        <w:t>Why this matters:</w:t>
      </w:r>
      <w:r>
        <w:t xml:space="preserve"> Public payor list is a documented conversion-trust signal in the Recovery vertical. Competitors enumerate explicitly.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4. Troy address verification — 2431 vs 2435 6th Avenue</w:t>
      </w:r>
    </w:p>
    <w:p>
      <w:r>
        <w:t xml:space="preserve">GBP says </w:t>
      </w:r>
      <w:r>
        <w:rPr>
          <w:b/>
        </w:rPr>
        <w:t>2431 6th Ave</w:t>
      </w:r>
      <w:r>
        <w:t xml:space="preserve">, site copy says </w:t>
      </w:r>
      <w:r>
        <w:rPr>
          <w:b/>
        </w:rPr>
        <w:t>2435 Sixth Avenue</w:t>
      </w:r>
      <w:r>
        <w:t>. Both are on the same block of 6th Ave in Troy NY 12180.</w:t>
      </w:r>
    </w:p>
    <w:p>
      <w:r>
        <w:rPr>
          <w:b/>
        </w:rPr>
        <w:t>Ask:</w:t>
      </w:r>
      <w:r>
        <w:t xml:space="preserve"> Which is the ground-truth correct street number? (Possibly building has multiple entries / one is mailing vs facility — either way we align everything to one.)</w:t>
      </w:r>
    </w:p>
    <w:p>
      <w:r>
        <w:rPr>
          <w:b/>
        </w:rPr>
        <w:t>Why this matters:</w:t>
      </w:r>
      <w:r>
        <w:t xml:space="preserve"> NAP inconsistency is a documented local-SEO ranking penalty + a citation-clean-up blocker. Per §1b LD data, Troy is on a strong upward trend — we don't want a NAP drift fix to confuse Google during this momentum window.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5. Sliding fee / self-pay program</w:t>
      </w:r>
    </w:p>
    <w:p>
      <w:r>
        <w:t>Specific to Rochester CRO gap. Page-level metrics: pos 9.36 / 0.819% CTR / 422 clicks on 51,508 imp 365d (highest impressions on the site, lowest CTR). GBP 2.7★ × 36 reviews (worst rating-drag combo on the site). Affordability is the likely friction.</w:t>
      </w:r>
    </w:p>
    <w:p>
      <w:r>
        <w:rPr>
          <w:b/>
        </w:rPr>
        <w:t>Ask:</w:t>
      </w:r>
      <w:r>
        <w:t xml:space="preserve"> Does Conifer offer sliding fee at Rochester (or anywhere)? Detox program scholarships? Self-pay package pricing? If yes, can we publish on the Rochester rebuild?</w:t>
      </w:r>
    </w:p>
    <w:p>
      <w:r>
        <w:rPr>
          <w:b/>
        </w:rPr>
        <w:t>Why this matters:</w:t>
      </w:r>
      <w:r>
        <w:t xml:space="preserve"> Rochester rebuild (SP-05) needs a hook against the rating gap. Sliding-fee disclosure is one of the strongest conversion hooks in the addiction vertical when honest.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6. Troy photo content — GBP blitz (3 → 25)</w:t>
      </w:r>
    </w:p>
    <w:p>
      <w:r>
        <w:t>Troy GBP has only 3 photos (verified via probe) — well below the 25-photo benchmark. Glenville at 26 already meets the benchmark. The 5 unmanaged pins (Plattsburgh null · Glens Falls 3 · Rochester 5 · Syracuse 6 · Schenectady 9) all sit below 25 but are out of scope (no GBP access).</w:t>
      </w:r>
    </w:p>
    <w:p>
      <w:r>
        <w:rPr>
          <w:b/>
        </w:rPr>
        <w:t>Ask (Troy-specific):</w:t>
      </w:r>
      <w:r>
        <w:t xml:space="preserve"> Can client supply (a) interior photos of the Troy outpatient facility (reception, group rooms, counselor offices, intake desk — no patient faces), (b) exterior + 2431/2435 6th Ave address-sign photos, (c) staff photos with media-release approval?</w:t>
      </w:r>
    </w:p>
    <w:p>
      <w:r>
        <w:rPr>
          <w:b/>
        </w:rPr>
        <w:t>If client cannot supply within M1:</w:t>
      </w:r>
      <w:r>
        <w:t xml:space="preserve"> Troy photo blitz task (LG-TR-06) documents as skipped + re-issues ask in M2 sync. No HQDM photo stock currently exists for Conifer in Drive.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7. Intake-side review SOP</w:t>
      </w:r>
    </w:p>
    <w:p>
      <w:r>
        <w:t>Review-velocity program (LG-UP-06) targets +15 reviews per pin in M2-M3, with highest priority on Schenectady (2.7★) and Rochester (2.7★) where rating floor blocks LLM citations.</w:t>
      </w:r>
    </w:p>
    <w:p>
      <w:r>
        <w:rPr>
          <w:b/>
        </w:rPr>
        <w:t>Ask:</w:t>
      </w:r>
      <w:r>
        <w:t xml:space="preserve"> Does the intake/discharge team have a current review-request workflow? Can we deploy SMS + printed-QR card distribution at intake/discharge?</w:t>
      </w:r>
    </w:p>
    <w:p>
      <w:r>
        <w:rPr>
          <w:b/>
        </w:rPr>
        <w:t>If yes:</w:t>
      </w:r>
      <w:r>
        <w:t xml:space="preserve"> HQDM provides the tooling + cadence; intake distributes.</w:t>
      </w:r>
    </w:p>
    <w:p>
      <w:r>
        <w:rPr>
          <w:b/>
        </w:rPr>
        <w:t>If no:</w:t>
      </w:r>
      <w:r>
        <w:t xml:space="preserve"> Owner Ask becomes a small operational lift on the intake-side team to deploy the workflow.</w:t>
      </w:r>
    </w:p>
    <w:p>
      <w:r>
        <w:rPr>
          <w:b/>
        </w:rPr>
        <w:t>Why this matters:</w:t>
      </w:r>
      <w:r>
        <w:t xml:space="preserve"> Rating lift is the single highest-leverage GBP move available, and it can't be HQDM-shipped from the outside.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8. Disavow file — Search Console approval</w:t>
      </w:r>
    </w:p>
    <w:p>
      <w:r>
        <w:t>OFF-06 generates the disavow file from a targeted toxic-links scan (independent of the backlink-gap analysis which has been dropped from Q2 scope). Upload to Google Search Console requires client-side approval (it's their property).</w:t>
      </w:r>
    </w:p>
    <w:p>
      <w:r>
        <w:rPr>
          <w:b/>
        </w:rPr>
        <w:t>Ask:</w:t>
      </w:r>
      <w:r>
        <w:t xml:space="preserve"> Who has GSC access for </w:t>
      </w:r>
      <w:r>
        <w:rPr>
          <w:rFonts w:ascii="Consolas" w:hAnsi="Consolas"/>
          <w:sz w:val="20"/>
        </w:rPr>
        <w:t>sc-domain:coniferpark.com</w:t>
      </w:r>
      <w:r>
        <w:t>? Can we get the disavow file approved + uploaded by M3 wk2 once we ship it?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9. Schema sign-off</w:t>
      </w:r>
    </w:p>
    <w:p>
      <w:r>
        <w:t>OS-01 ships page-level schema refactor across ~16 URLs. Validation cascade catches errors before deploy, but any client-side schema preferences (named clinicians? specific accreditations to include? specific awards to surface?) should land before M3 wk1.</w:t>
      </w:r>
    </w:p>
    <w:p>
      <w:r>
        <w:rPr>
          <w:b/>
        </w:rPr>
        <w:t>Ask:</w:t>
      </w:r>
      <w:r>
        <w:t xml:space="preserve"> Any named clinical leadership we should reference in schema </w:t>
      </w:r>
      <w:r>
        <w:rPr>
          <w:rFonts w:ascii="Consolas" w:hAnsi="Consolas"/>
          <w:sz w:val="20"/>
        </w:rPr>
        <w:t>medicalSpecialty</w:t>
      </w:r>
      <w:r>
        <w:t xml:space="preserve"> or </w:t>
      </w:r>
      <w:r>
        <w:rPr>
          <w:rFonts w:ascii="Consolas" w:hAnsi="Consolas"/>
          <w:sz w:val="20"/>
        </w:rPr>
        <w:t>Person</w:t>
      </w:r>
      <w:r>
        <w:t xml:space="preserve"> blocks? Any specific awards/recognitions to surface in </w:t>
      </w:r>
      <w:r>
        <w:rPr>
          <w:rFonts w:ascii="Consolas" w:hAnsi="Consolas"/>
          <w:sz w:val="20"/>
        </w:rPr>
        <w:t>award</w:t>
      </w:r>
      <w:r>
        <w:t xml:space="preserve"> properties?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10. Driving Directions program escalation</w:t>
      </w:r>
    </w:p>
    <w:p>
      <w:r>
        <w:t xml:space="preserve">OFF-07f_M2 / M2-M3 Driving Directions cycle on the 3 weakest pins is HQDM-rotation tactic — standard cadence. Mentioned here only as principal-level visibility per </w:t>
      </w:r>
      <w:r>
        <w:rPr>
          <w:rFonts w:ascii="Consolas" w:hAnsi="Consolas"/>
          <w:sz w:val="20"/>
        </w:rPr>
        <w:t>project_hqdm_tier0_exposure.md</w:t>
      </w:r>
      <w:r>
        <w:t>.</w:t>
      </w:r>
    </w:p>
    <w:p>
      <w:r>
        <w:rPr>
          <w:b/>
        </w:rPr>
        <w:t>No client-side ask</w:t>
      </w:r>
      <w:r>
        <w:t xml:space="preserve"> — flagged for principal awareness only.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Gates</w:t>
            </w:r>
          </w:p>
        </w:tc>
        <w:tc>
          <w:tcPr>
            <w:tcW w:type="dxa" w:w="288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Risk if unresolved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#1 GBP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DECIDED — 2-pin scope (Glenville + Troy)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action — principal awareness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#2 Accreditation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TS-01 trust-signal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Trust-signal gap stays open into Q3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#3 Payor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Admissions page conversion + Rochester rebuild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Conversion-friction stays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#4 Troy address (2431 vs 2435)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LG-TR-01 NAP fix + citation cleanup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NAP drift continues on Troy GBP; minor ranking penalty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#5 Sliding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Rochester rebuild (SP-05)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Rochester CRO work has no affordability hook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#6 Troy photo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LG-TR-06 photo blitz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Troy stays photo-starved at 3/25; trust-signal gap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#7 Intake review SOP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LG-UP-06 review velocity (7 facilities)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Rating lift across pin set can't happen from outside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#8 Disavow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OFF-06 disavow deploy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File ships but doesn't 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#9 Schema sign-off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OS-01 schema refactor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deploys with HQDM-only assumptions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#10 Driving Directions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Principal awareness only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