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b/>
          <w:color w:val="0B1726"/>
          <w:sz w:val="36"/>
        </w:rPr>
        <w:t>Push 2 Brief — Service-Page Rebuild + Homepage NAP + Page Refresh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Client:</w:t>
            </w:r>
            <w:r>
              <w:rPr>
                <w:b/>
                <w:color w:val="FFFFFF"/>
                <w:sz w:val="18"/>
              </w:rPr>
              <w:t xml:space="preserve"> Urban Recovery (Red Hook Brooklyn)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Quarter:</w:t>
            </w:r>
            <w:r>
              <w:rPr>
                <w:b/>
                <w:color w:val="FFFFFF"/>
                <w:sz w:val="18"/>
              </w:rPr>
              <w:t xml:space="preserve"> Q2 2026</w:t>
            </w:r>
          </w:p>
        </w:tc>
        <w:tc>
          <w:tcPr>
            <w:tcW w:type="dxa" w:w="3312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Prepared:</w:t>
            </w:r>
            <w:r>
              <w:rPr>
                <w:b/>
                <w:color w:val="FFFFFF"/>
                <w:sz w:val="18"/>
              </w:rPr>
              <w:t xml:space="preserve"> 2026-05-18</w:t>
            </w:r>
          </w:p>
        </w:tc>
      </w:tr>
    </w:tbl>
    <w:p/>
    <w:p>
      <w:pPr>
        <w:spacing w:before="240" w:after="80"/>
      </w:pPr>
      <w:r>
        <w:rPr>
          <w:b/>
          <w:color w:val="0B1726"/>
          <w:sz w:val="28"/>
        </w:rPr>
        <w:t>Problem statement</w:t>
      </w:r>
    </w:p>
    <w:p>
      <w:pPr>
        <w:spacing w:after="80"/>
      </w:pPr>
      <w:r>
        <w:rPr>
          <w:sz w:val="20"/>
        </w:rPr>
        <w:t>Urban Recovery's service pages currently leak 100% of organic clicks on 9,269 local-intent queries that rank pos 1–3. The conversion-leak headline: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Query</w:t>
            </w:r>
          </w:p>
        </w:tc>
        <w:tc>
          <w:tcPr>
            <w:tcW w:type="dxa" w:w="1987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Imp 180d</w:t>
            </w:r>
          </w:p>
        </w:tc>
        <w:tc>
          <w:tcPr>
            <w:tcW w:type="dxa" w:w="1987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Clicks</w:t>
            </w:r>
          </w:p>
        </w:tc>
        <w:tc>
          <w:tcPr>
            <w:tcW w:type="dxa" w:w="1987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Avg pos</w:t>
            </w:r>
          </w:p>
        </w:tc>
        <w:tc>
          <w:tcPr>
            <w:tcW w:type="dxa" w:w="1987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recovery center brooklyn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13,770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3.55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/services/*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drug rehab new york city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7,100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/services/*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alcohol rehab brooklyn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4,300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~5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2-3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/services/alcohol-detoxification-service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opioid detox brooklyn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880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~3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2-3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/services/opioid-detoxification-services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benzo detox brooklyn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310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~2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1-3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/services/benzodiazepines-detox-services</w:t>
            </w:r>
          </w:p>
        </w:tc>
      </w:tr>
    </w:tbl>
    <w:p/>
    <w:p>
      <w:pPr>
        <w:spacing w:after="80"/>
      </w:pPr>
      <w:r>
        <w:rPr>
          <w:sz w:val="20"/>
        </w:rPr>
        <w:t>The GBP authority is converting on the GBP-tagged homepage path (</w:t>
      </w:r>
      <w:r>
        <w:rPr>
          <w:rFonts w:ascii="Consolas" w:hAnsi="Consolas"/>
          <w:sz w:val="18"/>
        </w:rPr>
        <w:t>/?utm_source=gmb</w:t>
      </w:r>
      <w:r>
        <w:rPr>
          <w:sz w:val="20"/>
        </w:rPr>
        <w:t xml:space="preserve"> = 3,275 clicks / 1.18% CTR — the highest non-blog converting URL on the site). The organic SERP entries on </w:t>
      </w:r>
      <w:r>
        <w:rPr>
          <w:rFonts w:ascii="Consolas" w:hAnsi="Consolas"/>
          <w:sz w:val="18"/>
        </w:rPr>
        <w:t>/services/*</w:t>
      </w:r>
      <w:r>
        <w:rPr>
          <w:sz w:val="20"/>
        </w:rPr>
        <w:t xml:space="preserve"> rank pos 1–3 but leak 100% of clicks because the pages are 700-1,000-word doorway templates with no JSON-LD, no intake-form depth, no Areas We Serve enumeration.</w:t>
      </w:r>
    </w:p>
    <w:p>
      <w:pPr>
        <w:spacing w:after="80"/>
      </w:pPr>
      <w:r>
        <w:rPr>
          <w:b/>
          <w:sz w:val="20"/>
        </w:rPr>
        <w:t>Compounded by:</w:t>
      </w:r>
      <w:r>
        <w:rPr>
          <w:sz w:val="20"/>
        </w:rPr>
        <w:t xml:space="preserve"> Homepage LocalBusiness JSON-LD telephone is 646-960-6656 — the GBP canonical is 646-347-1892. Entity-trust mismatch in the only schema block on the site (HP-01 one-line fix M1).</w:t>
      </w:r>
    </w:p>
    <w:p>
      <w:pPr>
        <w:spacing w:after="80"/>
      </w:pPr>
      <w:r>
        <w:rPr>
          <w:b/>
          <w:sz w:val="20"/>
        </w:rPr>
        <w:t>Why Push 2 second:</w:t>
      </w:r>
      <w:r>
        <w:rPr>
          <w:sz w:val="20"/>
        </w:rPr>
        <w:t xml:space="preserve"> GBP depth (Push 1) gets the pin to dominance parity; service-page rebuild converts that authority into organic clicks. HP-01 + SP-01 + SP-02 + ON-02 = the full conversion-surface fix.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1 — `/services/alcohol-detoxification-service` upgrade (SP-01, M2)</w:t>
      </w:r>
    </w:p>
    <w:p>
      <w:pPr>
        <w:spacing w:after="80"/>
      </w:pPr>
      <w:r>
        <w:rPr>
          <w:b/>
          <w:sz w:val="20"/>
        </w:rPr>
        <w:t>URL:</w:t>
      </w:r>
      <w:r>
        <w:rPr>
          <w:sz w:val="20"/>
        </w:rPr>
        <w:t xml:space="preserve"> </w:t>
      </w:r>
      <w:r>
        <w:rPr>
          <w:rFonts w:ascii="Consolas" w:hAnsi="Consolas"/>
          <w:sz w:val="18"/>
        </w:rPr>
        <w:t>/services/alcohol-detoxification-service</w:t>
      </w:r>
      <w:r>
        <w:rPr>
          <w:sz w:val="20"/>
        </w:rPr>
        <w:t xml:space="preserve"> (existing; PA-02)</w:t>
      </w:r>
    </w:p>
    <w:p>
      <w:pPr>
        <w:spacing w:after="80"/>
      </w:pPr>
      <w:r>
        <w:rPr>
          <w:b/>
          <w:sz w:val="20"/>
        </w:rPr>
        <w:t>Primary query:</w:t>
      </w:r>
      <w:r>
        <w:rPr>
          <w:sz w:val="20"/>
        </w:rPr>
        <w:t xml:space="preserve"> alcohol detox brooklyn</w:t>
      </w:r>
    </w:p>
    <w:p>
      <w:pPr>
        <w:spacing w:after="80"/>
      </w:pPr>
      <w:r>
        <w:rPr>
          <w:b/>
          <w:sz w:val="20"/>
        </w:rPr>
        <w:t>Secondary queries:</w:t>
      </w:r>
      <w:r>
        <w:rPr>
          <w:sz w:val="20"/>
        </w:rPr>
        <w:t xml:space="preserve"> alcohol rehab brooklyn (LD pin-rank 2.16) · medical alcohol detox brooklyn · alcohol detox new york</w:t>
      </w:r>
    </w:p>
    <w:p>
      <w:pPr>
        <w:spacing w:after="80"/>
      </w:pPr>
      <w:r>
        <w:rPr>
          <w:b/>
          <w:sz w:val="20"/>
        </w:rPr>
        <w:t>Current:</w:t>
      </w:r>
      <w:r>
        <w:rPr>
          <w:sz w:val="20"/>
        </w:rPr>
        <w:t xml:space="preserve"> 872 words / 0 JSON-LD / pos 1-3 / near-zero CTR</w:t>
      </w:r>
    </w:p>
    <w:p>
      <w:pPr>
        <w:spacing w:after="80"/>
      </w:pPr>
      <w:r>
        <w:rPr>
          <w:b/>
          <w:sz w:val="20"/>
        </w:rPr>
        <w:t>Target (60d):</w:t>
      </w:r>
      <w:r>
        <w:rPr>
          <w:sz w:val="20"/>
        </w:rPr>
        <w:t xml:space="preserve"> Top 3 + CTR ≥3%</w:t>
      </w:r>
    </w:p>
    <w:p>
      <w:pPr>
        <w:spacing w:after="80"/>
      </w:pPr>
      <w:r>
        <w:rPr>
          <w:b/>
          <w:sz w:val="20"/>
        </w:rPr>
        <w:t>Page sections (required):</w:t>
      </w:r>
    </w:p>
    <w:p>
      <w:pPr>
        <w:pStyle w:val="ListNumber"/>
        <w:spacing w:after="40"/>
      </w:pPr>
      <w:r>
        <w:rPr>
          <w:b/>
          <w:sz w:val="20"/>
        </w:rPr>
        <w:t>H1:</w:t>
      </w:r>
      <w:r>
        <w:rPr>
          <w:sz w:val="20"/>
        </w:rPr>
        <w:t xml:space="preserve"> Alcohol Detox in Brooklyn — Medical Supervision at Urban Recovery Red Hook</w:t>
      </w:r>
    </w:p>
    <w:p>
      <w:pPr>
        <w:pStyle w:val="ListNumber"/>
        <w:spacing w:after="40"/>
      </w:pPr>
      <w:r>
        <w:rPr>
          <w:b/>
          <w:sz w:val="20"/>
        </w:rPr>
        <w:t>Hero block:</w:t>
      </w:r>
    </w:p>
    <w:p>
      <w:pPr>
        <w:pStyle w:val="ListBullet"/>
        <w:spacing w:after="40"/>
        <w:ind w:left="720"/>
      </w:pPr>
      <w:r>
        <w:rPr>
          <w:sz w:val="20"/>
        </w:rPr>
        <w:t>Medical-supervision protocol — 24-hour intake + CIWA + benzo-taper for severe withdrawal</w:t>
      </w:r>
    </w:p>
    <w:p>
      <w:pPr>
        <w:pStyle w:val="ListBullet"/>
        <w:spacing w:after="40"/>
        <w:ind w:left="720"/>
      </w:pPr>
      <w:r>
        <w:rPr>
          <w:sz w:val="20"/>
        </w:rPr>
        <w:t>Same-day admission framing</w:t>
      </w:r>
    </w:p>
    <w:p>
      <w:pPr>
        <w:pStyle w:val="ListBullet"/>
        <w:spacing w:after="40"/>
        <w:ind w:left="720"/>
      </w:pPr>
      <w:r>
        <w:rPr>
          <w:sz w:val="20"/>
        </w:rPr>
        <w:t>Red Hook location (411 Van Brunt St) + transportation context</w:t>
      </w:r>
    </w:p>
    <w:p>
      <w:pPr>
        <w:pStyle w:val="ListBullet"/>
        <w:spacing w:after="40"/>
        <w:ind w:left="720"/>
      </w:pPr>
      <w:r>
        <w:rPr>
          <w:sz w:val="20"/>
        </w:rPr>
        <w:t>Women-owned / LGBTQ+-affirming / transgender-safespace differentiator</w:t>
      </w:r>
    </w:p>
    <w:p>
      <w:pPr>
        <w:pStyle w:val="ListNumber"/>
        <w:spacing w:after="40"/>
      </w:pPr>
      <w:r>
        <w:rPr>
          <w:b/>
          <w:sz w:val="20"/>
        </w:rPr>
        <w:t>Clinical model:</w:t>
      </w:r>
    </w:p>
    <w:p>
      <w:pPr>
        <w:pStyle w:val="ListBullet"/>
        <w:spacing w:after="40"/>
        <w:ind w:left="720"/>
      </w:pPr>
      <w:r>
        <w:rPr>
          <w:sz w:val="20"/>
        </w:rPr>
        <w:t>CIWA-Ar scoring at intake</w:t>
      </w:r>
    </w:p>
    <w:p>
      <w:pPr>
        <w:pStyle w:val="ListBullet"/>
        <w:spacing w:after="40"/>
        <w:ind w:left="720"/>
      </w:pPr>
      <w:r>
        <w:rPr>
          <w:sz w:val="20"/>
        </w:rPr>
        <w:t>Benzodiazepine taper protocol for moderate-to-severe withdrawal (Ativan or Librium)</w:t>
      </w:r>
    </w:p>
    <w:p>
      <w:pPr>
        <w:pStyle w:val="ListBullet"/>
        <w:spacing w:after="40"/>
        <w:ind w:left="720"/>
      </w:pPr>
      <w:r>
        <w:rPr>
          <w:sz w:val="20"/>
        </w:rPr>
        <w:t>Daily medical monitoring (vital signs, hydration, electrolyte balance)</w:t>
      </w:r>
    </w:p>
    <w:p>
      <w:pPr>
        <w:pStyle w:val="ListBullet"/>
        <w:spacing w:after="40"/>
        <w:ind w:left="720"/>
      </w:pPr>
      <w:r>
        <w:rPr>
          <w:sz w:val="20"/>
        </w:rPr>
        <w:t>Nutritional support + thiamine + folate</w:t>
      </w:r>
    </w:p>
    <w:p>
      <w:pPr>
        <w:pStyle w:val="ListBullet"/>
        <w:spacing w:after="40"/>
        <w:ind w:left="720"/>
      </w:pPr>
      <w:r>
        <w:rPr>
          <w:sz w:val="20"/>
        </w:rPr>
        <w:t>Why medical detox is safer than at-home detox (alcohol is the only withdrawal with seizure + DT risk)</w:t>
      </w:r>
    </w:p>
    <w:p>
      <w:pPr>
        <w:pStyle w:val="ListNumber"/>
        <w:spacing w:after="40"/>
      </w:pPr>
      <w:r>
        <w:rPr>
          <w:b/>
          <w:sz w:val="20"/>
        </w:rPr>
        <w:t>What to expect (day-by-day framing):</w:t>
      </w:r>
    </w:p>
    <w:p>
      <w:pPr>
        <w:pStyle w:val="ListBullet"/>
        <w:spacing w:after="40"/>
        <w:ind w:left="720"/>
      </w:pPr>
      <w:r>
        <w:rPr>
          <w:sz w:val="20"/>
        </w:rPr>
        <w:t>Day 1: intake assessment + CIWA scoring + medication initiation</w:t>
      </w:r>
    </w:p>
    <w:p>
      <w:pPr>
        <w:pStyle w:val="ListBullet"/>
        <w:spacing w:after="40"/>
        <w:ind w:left="720"/>
      </w:pPr>
      <w:r>
        <w:rPr>
          <w:sz w:val="20"/>
        </w:rPr>
        <w:t>Days 2-3: peak withdrawal management</w:t>
      </w:r>
    </w:p>
    <w:p>
      <w:pPr>
        <w:pStyle w:val="ListBullet"/>
        <w:spacing w:after="40"/>
        <w:ind w:left="720"/>
      </w:pPr>
      <w:r>
        <w:rPr>
          <w:sz w:val="20"/>
        </w:rPr>
        <w:t>Days 4-7: stabilization + co-occurring assessment</w:t>
      </w:r>
    </w:p>
    <w:p>
      <w:pPr>
        <w:pStyle w:val="ListBullet"/>
        <w:spacing w:after="40"/>
        <w:ind w:left="720"/>
      </w:pPr>
      <w:r>
        <w:rPr>
          <w:sz w:val="20"/>
        </w:rPr>
        <w:t>Discharge planning + step-down to outpatient or residential</w:t>
      </w:r>
    </w:p>
    <w:p>
      <w:pPr>
        <w:pStyle w:val="ListNumber"/>
        <w:spacing w:after="40"/>
      </w:pPr>
      <w:r>
        <w:rPr>
          <w:b/>
          <w:sz w:val="20"/>
        </w:rPr>
        <w:t>Insurance &amp; affordability:</w:t>
      </w:r>
    </w:p>
    <w:p>
      <w:pPr>
        <w:pStyle w:val="ListBullet"/>
        <w:spacing w:after="40"/>
        <w:ind w:left="720"/>
      </w:pPr>
      <w:r>
        <w:rPr>
          <w:sz w:val="20"/>
        </w:rPr>
        <w:t>Medicaid acceptance (gated on Owner Items #2 confirmation)</w:t>
      </w:r>
    </w:p>
    <w:p>
      <w:pPr>
        <w:pStyle w:val="ListBullet"/>
        <w:spacing w:after="40"/>
        <w:ind w:left="720"/>
      </w:pPr>
      <w:r>
        <w:rPr>
          <w:sz w:val="20"/>
        </w:rPr>
        <w:t>Commercial carrier list: Aetna + Cigna + BCBS (Owner Items #2)</w:t>
      </w:r>
    </w:p>
    <w:p>
      <w:pPr>
        <w:pStyle w:val="ListBullet"/>
        <w:spacing w:after="40"/>
        <w:ind w:left="720"/>
      </w:pPr>
      <w:r>
        <w:rPr>
          <w:sz w:val="20"/>
        </w:rPr>
        <w:t>Verify-insurance step ("call 646-347-1892 and we'll verify in 5 minutes")</w:t>
      </w:r>
    </w:p>
    <w:p>
      <w:pPr>
        <w:pStyle w:val="ListNumber"/>
        <w:spacing w:after="40"/>
      </w:pPr>
      <w:r>
        <w:rPr>
          <w:b/>
          <w:sz w:val="20"/>
        </w:rPr>
        <w:t>Areas We Serve:</w:t>
      </w:r>
    </w:p>
    <w:p>
      <w:pPr>
        <w:pStyle w:val="ListBullet"/>
        <w:spacing w:after="40"/>
        <w:ind w:left="720"/>
      </w:pPr>
      <w:r>
        <w:rPr>
          <w:sz w:val="20"/>
        </w:rPr>
        <w:t>Red Hook + Carroll Gardens + Gowanus + Park Slope + Boerum Hill + Sunset Park + Downtown Brooklyn + Brooklyn Heights + DUMBO + Fort Greene</w:t>
      </w:r>
    </w:p>
    <w:p>
      <w:pPr>
        <w:pStyle w:val="ListBullet"/>
        <w:spacing w:after="40"/>
        <w:ind w:left="720"/>
      </w:pPr>
      <w:r>
        <w:rPr>
          <w:sz w:val="20"/>
        </w:rPr>
        <w:t>Cross-link to each /locations/* hub</w:t>
      </w:r>
    </w:p>
    <w:p>
      <w:pPr>
        <w:pStyle w:val="ListNumber"/>
        <w:spacing w:after="40"/>
      </w:pPr>
      <w:r>
        <w:rPr>
          <w:b/>
          <w:sz w:val="20"/>
        </w:rPr>
        <w:t>MAT-adjacency context:</w:t>
      </w:r>
    </w:p>
    <w:p>
      <w:pPr>
        <w:pStyle w:val="ListBullet"/>
        <w:spacing w:after="40"/>
        <w:ind w:left="720"/>
      </w:pPr>
      <w:r>
        <w:rPr>
          <w:sz w:val="20"/>
        </w:rPr>
        <w:t>When alcohol-detox transitions to MAT (Naltrexone or Acamprosate for alcohol-use disorder)</w:t>
      </w:r>
    </w:p>
    <w:p>
      <w:pPr>
        <w:pStyle w:val="ListBullet"/>
        <w:spacing w:after="40"/>
        <w:ind w:left="720"/>
      </w:pPr>
      <w:r>
        <w:rPr>
          <w:sz w:val="20"/>
        </w:rPr>
        <w:t>Cross-link to upgraded /services/opioid-detoxification-services (which covers MAT in M3)</w:t>
      </w:r>
    </w:p>
    <w:p>
      <w:pPr>
        <w:pStyle w:val="ListNumber"/>
        <w:spacing w:after="40"/>
      </w:pPr>
      <w:r>
        <w:rPr>
          <w:b/>
          <w:sz w:val="20"/>
        </w:rPr>
        <w:t>FAQ block (5-7 Qs):</w:t>
      </w:r>
    </w:p>
    <w:p>
      <w:pPr>
        <w:pStyle w:val="ListBullet"/>
        <w:spacing w:after="40"/>
        <w:ind w:left="720"/>
      </w:pPr>
      <w:r>
        <w:rPr>
          <w:sz w:val="20"/>
        </w:rPr>
        <w:t>"How long is alcohol detox?"</w:t>
      </w:r>
    </w:p>
    <w:p>
      <w:pPr>
        <w:pStyle w:val="ListBullet"/>
        <w:spacing w:after="40"/>
        <w:ind w:left="720"/>
      </w:pPr>
      <w:r>
        <w:rPr>
          <w:sz w:val="20"/>
        </w:rPr>
        <w:t>"Is alcohol withdrawal dangerous?" (yes — seizure + DT risk)</w:t>
      </w:r>
    </w:p>
    <w:p>
      <w:pPr>
        <w:pStyle w:val="ListBullet"/>
        <w:spacing w:after="40"/>
        <w:ind w:left="720"/>
      </w:pPr>
      <w:r>
        <w:rPr>
          <w:sz w:val="20"/>
        </w:rPr>
        <w:t>"Will my insurance cover alcohol detox in Brooklyn?"</w:t>
      </w:r>
    </w:p>
    <w:p>
      <w:pPr>
        <w:pStyle w:val="ListBullet"/>
        <w:spacing w:after="40"/>
        <w:ind w:left="720"/>
      </w:pPr>
      <w:r>
        <w:rPr>
          <w:sz w:val="20"/>
        </w:rPr>
        <w:t>"Can I detox at home from alcohol?" (medically risky — explain why)</w:t>
      </w:r>
    </w:p>
    <w:p>
      <w:pPr>
        <w:pStyle w:val="ListBullet"/>
        <w:spacing w:after="40"/>
        <w:ind w:left="720"/>
      </w:pPr>
      <w:r>
        <w:rPr>
          <w:sz w:val="20"/>
        </w:rPr>
        <w:t>"Same-day admission for alcohol detox?"</w:t>
      </w:r>
    </w:p>
    <w:p>
      <w:pPr>
        <w:pStyle w:val="ListBullet"/>
        <w:spacing w:after="40"/>
        <w:ind w:left="720"/>
      </w:pPr>
      <w:r>
        <w:rPr>
          <w:sz w:val="20"/>
        </w:rPr>
        <w:t>"Do you accept Medicaid for alcohol detox?"</w:t>
      </w:r>
    </w:p>
    <w:p>
      <w:pPr>
        <w:pStyle w:val="ListNumber"/>
        <w:spacing w:after="40"/>
      </w:pPr>
      <w:r>
        <w:rPr>
          <w:b/>
          <w:sz w:val="20"/>
        </w:rPr>
        <w:t>CTA footer:</w:t>
      </w:r>
      <w:r>
        <w:rPr>
          <w:sz w:val="20"/>
        </w:rPr>
        <w:t xml:space="preserve"> Phone 646-347-1892 + intake form + Maps embed</w:t>
      </w:r>
    </w:p>
    <w:p>
      <w:pPr>
        <w:spacing w:after="80"/>
      </w:pPr>
      <w:r>
        <w:rPr>
          <w:b/>
          <w:sz w:val="20"/>
        </w:rPr>
        <w:t>Target length:</w:t>
      </w:r>
      <w:r>
        <w:rPr>
          <w:sz w:val="20"/>
        </w:rPr>
        <w:t xml:space="preserve"> 1,400–1,600 words</w:t>
      </w:r>
    </w:p>
    <w:p>
      <w:pPr>
        <w:spacing w:after="80"/>
      </w:pPr>
      <w:r>
        <w:rPr>
          <w:b/>
          <w:sz w:val="20"/>
        </w:rPr>
        <w:t>Schema: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MedicalBusiness</w:t>
      </w:r>
      <w:r>
        <w:rPr>
          <w:sz w:val="20"/>
        </w:rPr>
        <w:t xml:space="preserve"> (linked to homepage MedicalBusiness @id post HP-01 fix)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Service</w:t>
      </w:r>
      <w:r>
        <w:rPr>
          <w:sz w:val="20"/>
        </w:rPr>
        <w:t xml:space="preserve"> (alcoholRehabilitation)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FAQPage</w:t>
      </w:r>
      <w:r>
        <w:rPr>
          <w:sz w:val="20"/>
        </w:rPr>
        <w:t xml:space="preserve"> for FAQ block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BreadcrumbList</w:t>
      </w:r>
    </w:p>
    <w:p>
      <w:pPr>
        <w:spacing w:after="80"/>
      </w:pPr>
      <w:r>
        <w:rPr>
          <w:b/>
          <w:sz w:val="20"/>
        </w:rPr>
        <w:t>Internal links FROM (per Internal_Linking_Map.csv):</w:t>
      </w:r>
    </w:p>
    <w:p>
      <w:pPr>
        <w:pStyle w:val="ListBullet"/>
        <w:spacing w:after="40"/>
      </w:pPr>
      <w:r>
        <w:rPr>
          <w:sz w:val="20"/>
        </w:rPr>
        <w:t xml:space="preserve">IL-01: </w:t>
      </w:r>
      <w:r>
        <w:rPr>
          <w:rFonts w:ascii="Consolas" w:hAnsi="Consolas"/>
          <w:sz w:val="18"/>
        </w:rPr>
        <w:t>/</w:t>
      </w:r>
      <w:r>
        <w:rPr>
          <w:sz w:val="20"/>
        </w:rPr>
        <w:t xml:space="preserve"> (homepage) primary nav under Services + hero CTA</w:t>
      </w:r>
    </w:p>
    <w:p>
      <w:pPr>
        <w:pStyle w:val="ListBullet"/>
        <w:spacing w:after="40"/>
      </w:pPr>
      <w:r>
        <w:rPr>
          <w:sz w:val="20"/>
        </w:rPr>
        <w:t xml:space="preserve">IL-02: </w:t>
      </w:r>
      <w:r>
        <w:rPr>
          <w:rFonts w:ascii="Consolas" w:hAnsi="Consolas"/>
          <w:sz w:val="18"/>
        </w:rPr>
        <w:t>/locations/red-hook-ny</w:t>
      </w:r>
      <w:r>
        <w:rPr>
          <w:sz w:val="20"/>
        </w:rPr>
        <w:t xml:space="preserve"> (LP-02_M1 hub) body "Services we offer"</w:t>
      </w:r>
    </w:p>
    <w:p>
      <w:pPr>
        <w:pStyle w:val="ListBullet"/>
        <w:spacing w:after="40"/>
      </w:pPr>
      <w:r>
        <w:rPr>
          <w:sz w:val="20"/>
        </w:rPr>
        <w:t xml:space="preserve">IL-03: </w:t>
      </w:r>
      <w:r>
        <w:rPr>
          <w:rFonts w:ascii="Consolas" w:hAnsi="Consolas"/>
          <w:sz w:val="18"/>
        </w:rPr>
        <w:t>/locations/carroll-gardens-red-hook</w:t>
      </w:r>
      <w:r>
        <w:rPr>
          <w:sz w:val="20"/>
        </w:rPr>
        <w:t xml:space="preserve"> body "Services"</w:t>
      </w:r>
    </w:p>
    <w:p>
      <w:pPr>
        <w:pStyle w:val="ListBullet"/>
        <w:spacing w:after="40"/>
      </w:pPr>
      <w:r>
        <w:rPr>
          <w:sz w:val="20"/>
        </w:rPr>
        <w:t xml:space="preserve">IL-04: </w:t>
      </w:r>
      <w:r>
        <w:rPr>
          <w:rFonts w:ascii="Consolas" w:hAnsi="Consolas"/>
          <w:sz w:val="18"/>
        </w:rPr>
        <w:t>/locations/gowanus</w:t>
      </w:r>
      <w:r>
        <w:rPr>
          <w:sz w:val="20"/>
        </w:rPr>
        <w:t xml:space="preserve"> body "Services"</w:t>
      </w:r>
    </w:p>
    <w:p>
      <w:pPr>
        <w:pStyle w:val="ListBullet"/>
        <w:spacing w:after="40"/>
      </w:pPr>
      <w:r>
        <w:rPr>
          <w:sz w:val="20"/>
        </w:rPr>
        <w:t xml:space="preserve">IL-32 (M2): </w:t>
      </w:r>
      <w:r>
        <w:rPr>
          <w:rFonts w:ascii="Consolas" w:hAnsi="Consolas"/>
          <w:sz w:val="18"/>
        </w:rPr>
        <w:t>/locations/recovery-center-in-sunset-park-ny</w:t>
      </w:r>
      <w:r>
        <w:rPr>
          <w:sz w:val="20"/>
        </w:rPr>
        <w:t xml:space="preserve"> body "Services" (post LP-02_M2 upgrade)</w:t>
      </w:r>
    </w:p>
    <w:p>
      <w:pPr>
        <w:pStyle w:val="ListBullet"/>
        <w:spacing w:after="40"/>
      </w:pPr>
      <w:r>
        <w:rPr>
          <w:sz w:val="20"/>
        </w:rPr>
        <w:t xml:space="preserve">IL-35/37 (M2): </w:t>
      </w:r>
      <w:r>
        <w:rPr>
          <w:rFonts w:ascii="Consolas" w:hAnsi="Consolas"/>
          <w:sz w:val="18"/>
        </w:rPr>
        <w:t>/locations/park-slope-ny</w:t>
      </w:r>
      <w:r>
        <w:rPr>
          <w:sz w:val="20"/>
        </w:rPr>
        <w:t xml:space="preserve"> + </w:t>
      </w:r>
      <w:r>
        <w:rPr>
          <w:rFonts w:ascii="Consolas" w:hAnsi="Consolas"/>
          <w:sz w:val="18"/>
        </w:rPr>
        <w:t>/locations/boerum-hill-ny</w:t>
      </w:r>
    </w:p>
    <w:p>
      <w:pPr>
        <w:spacing w:after="80"/>
      </w:pPr>
      <w:r>
        <w:rPr>
          <w:b/>
          <w:sz w:val="20"/>
        </w:rPr>
        <w:t>Internal links TO:</w:t>
      </w:r>
    </w:p>
    <w:p>
      <w:pPr>
        <w:pStyle w:val="ListBullet"/>
        <w:spacing w:after="40"/>
      </w:pPr>
      <w:r>
        <w:rPr>
          <w:sz w:val="20"/>
        </w:rPr>
        <w:t xml:space="preserve">IL-05: </w:t>
      </w:r>
      <w:r>
        <w:rPr>
          <w:rFonts w:ascii="Consolas" w:hAnsi="Consolas"/>
          <w:sz w:val="18"/>
        </w:rPr>
        <w:t>/admission-overview</w:t>
      </w:r>
      <w:r>
        <w:rPr>
          <w:sz w:val="20"/>
        </w:rPr>
        <w:t xml:space="preserve"> hero CTA + end-block (conversion pull-through)</w:t>
      </w:r>
    </w:p>
    <w:p>
      <w:pPr>
        <w:pStyle w:val="ListBullet"/>
        <w:spacing w:after="40"/>
      </w:pPr>
      <w:r>
        <w:rPr>
          <w:sz w:val="20"/>
        </w:rPr>
        <w:t xml:space="preserve">IL-06: </w:t>
      </w:r>
      <w:r>
        <w:rPr>
          <w:rFonts w:ascii="Consolas" w:hAnsi="Consolas"/>
          <w:sz w:val="18"/>
        </w:rPr>
        <w:t>/services/opioid-detoxification-services</w:t>
      </w:r>
      <w:r>
        <w:rPr>
          <w:sz w:val="20"/>
        </w:rPr>
        <w:t xml:space="preserve"> body "Polysubstance use"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Page live at 1,400+ words</w:t>
      </w:r>
    </w:p>
    <w:p>
      <w:pPr>
        <w:pStyle w:val="ListBullet"/>
        <w:spacing w:after="40"/>
      </w:pPr>
      <w:r>
        <w:rPr>
          <w:sz w:val="20"/>
        </w:rPr>
        <w:t>Service + LocalBusiness + FAQPage schema validate (Schema.org validator pass)</w:t>
      </w:r>
    </w:p>
    <w:p>
      <w:pPr>
        <w:pStyle w:val="ListBullet"/>
        <w:spacing w:after="40"/>
      </w:pPr>
      <w:r>
        <w:rPr>
          <w:sz w:val="20"/>
        </w:rPr>
        <w:t>RRT (Rich Results Test) pass</w:t>
      </w:r>
    </w:p>
    <w:p>
      <w:pPr>
        <w:pStyle w:val="ListBullet"/>
        <w:spacing w:after="40"/>
      </w:pPr>
      <w:r>
        <w:rPr>
          <w:sz w:val="20"/>
        </w:rPr>
        <w:t>Request Indexing submitted within 14d</w:t>
      </w:r>
    </w:p>
    <w:p>
      <w:pPr>
        <w:pStyle w:val="ListBullet"/>
        <w:spacing w:after="40"/>
      </w:pPr>
      <w:r>
        <w:rPr>
          <w:sz w:val="20"/>
        </w:rPr>
        <w:t xml:space="preserve">30-day post-publish CTR delta captured in REP-02 — target ≥3% on </w:t>
      </w:r>
      <w:r>
        <w:rPr>
          <w:rFonts w:ascii="Consolas" w:hAnsi="Consolas"/>
          <w:sz w:val="18"/>
        </w:rPr>
        <w:t>recovery center brooklyn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2 — `/services/opioid-detoxification-services` upgrade with MAT positioning (SP-02, M3)</w:t>
      </w:r>
    </w:p>
    <w:p>
      <w:pPr>
        <w:spacing w:after="80"/>
      </w:pPr>
      <w:r>
        <w:rPr>
          <w:b/>
          <w:sz w:val="20"/>
        </w:rPr>
        <w:t>URL:</w:t>
      </w:r>
      <w:r>
        <w:rPr>
          <w:sz w:val="20"/>
        </w:rPr>
        <w:t xml:space="preserve"> </w:t>
      </w:r>
      <w:r>
        <w:rPr>
          <w:rFonts w:ascii="Consolas" w:hAnsi="Consolas"/>
          <w:sz w:val="18"/>
        </w:rPr>
        <w:t>/services/opioid-detoxification-services</w:t>
      </w:r>
      <w:r>
        <w:rPr>
          <w:sz w:val="20"/>
        </w:rPr>
        <w:t xml:space="preserve"> (existing; PA-03)</w:t>
      </w:r>
    </w:p>
    <w:p>
      <w:pPr>
        <w:spacing w:after="80"/>
      </w:pPr>
      <w:r>
        <w:rPr>
          <w:b/>
          <w:sz w:val="20"/>
        </w:rPr>
        <w:t>Primary query:</w:t>
      </w:r>
      <w:r>
        <w:rPr>
          <w:sz w:val="20"/>
        </w:rPr>
        <w:t xml:space="preserve"> opioid detox brooklyn</w:t>
      </w:r>
    </w:p>
    <w:p>
      <w:pPr>
        <w:spacing w:after="80"/>
      </w:pPr>
      <w:r>
        <w:rPr>
          <w:b/>
          <w:sz w:val="20"/>
        </w:rPr>
        <w:t>Secondary queries:</w:t>
      </w:r>
      <w:r>
        <w:rPr>
          <w:sz w:val="20"/>
        </w:rPr>
        <w:t xml:space="preserve"> opioid rehab brooklyn · mat treatment brooklyn · suboxone clinic brooklyn · buprenorphine treatment new york</w:t>
      </w:r>
    </w:p>
    <w:p>
      <w:pPr>
        <w:spacing w:after="80"/>
      </w:pPr>
      <w:r>
        <w:rPr>
          <w:b/>
          <w:sz w:val="20"/>
        </w:rPr>
        <w:t>Current:</w:t>
      </w:r>
      <w:r>
        <w:rPr>
          <w:sz w:val="20"/>
        </w:rPr>
        <w:t xml:space="preserve"> ~800-1,000 words / 0 JSON-LD / pos 1-3 / near-zero CTR</w:t>
      </w:r>
    </w:p>
    <w:p>
      <w:pPr>
        <w:spacing w:after="80"/>
      </w:pPr>
      <w:r>
        <w:rPr>
          <w:b/>
          <w:sz w:val="20"/>
        </w:rPr>
        <w:t>Target (60d):</w:t>
      </w:r>
      <w:r>
        <w:rPr>
          <w:sz w:val="20"/>
        </w:rPr>
        <w:t xml:space="preserve"> Top 3 + CTR ≥3%</w:t>
      </w:r>
    </w:p>
    <w:p>
      <w:pPr>
        <w:spacing w:after="80"/>
      </w:pPr>
      <w:r>
        <w:rPr>
          <w:b/>
          <w:sz w:val="20"/>
        </w:rPr>
        <w:t>Same template as SP-01 with opioid-specific clinical content.</w:t>
      </w:r>
    </w:p>
    <w:p>
      <w:pPr>
        <w:spacing w:after="80"/>
      </w:pPr>
      <w:r>
        <w:rPr>
          <w:b/>
          <w:sz w:val="20"/>
        </w:rPr>
        <w:t>Page sections:</w:t>
      </w:r>
    </w:p>
    <w:p>
      <w:pPr>
        <w:pStyle w:val="ListNumber"/>
        <w:spacing w:after="40"/>
      </w:pPr>
      <w:r>
        <w:rPr>
          <w:b/>
          <w:sz w:val="20"/>
        </w:rPr>
        <w:t>H1:</w:t>
      </w:r>
      <w:r>
        <w:rPr>
          <w:sz w:val="20"/>
        </w:rPr>
        <w:t xml:space="preserve"> Opioid Detox &amp; MAT in Brooklyn — Urban Recovery Red Hook</w:t>
      </w:r>
    </w:p>
    <w:p>
      <w:pPr>
        <w:pStyle w:val="ListNumber"/>
        <w:spacing w:after="40"/>
      </w:pPr>
      <w:r>
        <w:rPr>
          <w:b/>
          <w:sz w:val="20"/>
        </w:rPr>
        <w:t>Hero block:</w:t>
      </w:r>
    </w:p>
    <w:p>
      <w:pPr>
        <w:pStyle w:val="ListBullet"/>
        <w:spacing w:after="40"/>
        <w:ind w:left="720"/>
      </w:pPr>
      <w:r>
        <w:rPr>
          <w:sz w:val="20"/>
        </w:rPr>
        <w:t>Medical-supervision protocol — Buprenorphine + Naltrexone + Vivitrol availability</w:t>
      </w:r>
    </w:p>
    <w:p>
      <w:pPr>
        <w:pStyle w:val="ListBullet"/>
        <w:spacing w:after="40"/>
        <w:ind w:left="720"/>
      </w:pPr>
      <w:r>
        <w:rPr>
          <w:sz w:val="20"/>
        </w:rPr>
        <w:t>Same-day MAT admission</w:t>
      </w:r>
    </w:p>
    <w:p>
      <w:pPr>
        <w:pStyle w:val="ListBullet"/>
        <w:spacing w:after="40"/>
        <w:ind w:left="720"/>
      </w:pPr>
      <w:r>
        <w:rPr>
          <w:sz w:val="20"/>
        </w:rPr>
        <w:t>Red Hook location + intake</w:t>
      </w:r>
    </w:p>
    <w:p>
      <w:pPr>
        <w:pStyle w:val="ListBullet"/>
        <w:spacing w:after="40"/>
        <w:ind w:left="720"/>
      </w:pPr>
      <w:r>
        <w:rPr>
          <w:sz w:val="20"/>
        </w:rPr>
        <w:t>LGBTQ+-affirming / women-owned / transgender-safespace</w:t>
      </w:r>
    </w:p>
    <w:p>
      <w:pPr>
        <w:pStyle w:val="ListNumber"/>
        <w:spacing w:after="40"/>
      </w:pPr>
      <w:r>
        <w:rPr>
          <w:b/>
          <w:sz w:val="20"/>
        </w:rPr>
        <w:t>The 3 MAT modalities sub-section per modality with H2:</w:t>
      </w:r>
    </w:p>
    <w:p>
      <w:pPr>
        <w:pStyle w:val="ListBullet"/>
        <w:spacing w:after="40"/>
        <w:ind w:left="720"/>
      </w:pPr>
      <w:r>
        <w:rPr>
          <w:b/>
          <w:sz w:val="20"/>
        </w:rPr>
        <w:t>Buprenorphine (Suboxone)</w:t>
      </w:r>
      <w:r>
        <w:rPr>
          <w:sz w:val="20"/>
        </w:rPr>
        <w:t xml:space="preserve"> — flexible dosing, who it works for, comparison to methadone</w:t>
      </w:r>
    </w:p>
    <w:p>
      <w:pPr>
        <w:pStyle w:val="ListBullet"/>
        <w:spacing w:after="40"/>
        <w:ind w:left="720"/>
      </w:pPr>
      <w:r>
        <w:rPr>
          <w:b/>
          <w:sz w:val="20"/>
        </w:rPr>
        <w:t>Naltrexone (oral)</w:t>
      </w:r>
      <w:r>
        <w:rPr>
          <w:sz w:val="20"/>
        </w:rPr>
        <w:t xml:space="preserve"> — when oral is appropriate, opioid-free framing</w:t>
      </w:r>
    </w:p>
    <w:p>
      <w:pPr>
        <w:pStyle w:val="ListBullet"/>
        <w:spacing w:after="40"/>
        <w:ind w:left="720"/>
      </w:pPr>
      <w:r>
        <w:rPr>
          <w:b/>
          <w:sz w:val="20"/>
        </w:rPr>
        <w:t>Vivitrol (extended-release Naltrexone)</w:t>
      </w:r>
      <w:r>
        <w:rPr>
          <w:sz w:val="20"/>
        </w:rPr>
        <w:t xml:space="preserve"> — monthly injection, who it fits</w:t>
      </w:r>
    </w:p>
    <w:p>
      <w:pPr>
        <w:pStyle w:val="ListBullet"/>
        <w:spacing w:after="40"/>
        <w:ind w:left="720"/>
      </w:pPr>
      <w:r>
        <w:rPr>
          <w:b/>
          <w:sz w:val="20"/>
        </w:rPr>
        <w:t>(Conditional: Methadone if Owner Items #1 confirms on-site dispensing — otherwise referral-network framing)</w:t>
      </w:r>
    </w:p>
    <w:p>
      <w:pPr>
        <w:pStyle w:val="ListNumber"/>
        <w:spacing w:after="40"/>
      </w:pPr>
      <w:r>
        <w:rPr>
          <w:b/>
          <w:sz w:val="20"/>
        </w:rPr>
        <w:t>What to expect on opioid detox + MAT:</w:t>
      </w:r>
    </w:p>
    <w:p>
      <w:pPr>
        <w:pStyle w:val="ListBullet"/>
        <w:spacing w:after="40"/>
        <w:ind w:left="720"/>
      </w:pPr>
      <w:r>
        <w:rPr>
          <w:sz w:val="20"/>
        </w:rPr>
        <w:t>Intake assessment + COWS scoring</w:t>
      </w:r>
    </w:p>
    <w:p>
      <w:pPr>
        <w:pStyle w:val="ListBullet"/>
        <w:spacing w:after="40"/>
        <w:ind w:left="720"/>
      </w:pPr>
      <w:r>
        <w:rPr>
          <w:sz w:val="20"/>
        </w:rPr>
        <w:t>Day 1: medication initiation (typically Buprenorphine)</w:t>
      </w:r>
    </w:p>
    <w:p>
      <w:pPr>
        <w:pStyle w:val="ListBullet"/>
        <w:spacing w:after="40"/>
        <w:ind w:left="720"/>
      </w:pPr>
      <w:r>
        <w:rPr>
          <w:sz w:val="20"/>
        </w:rPr>
        <w:t>Days 2-7: stabilization</w:t>
      </w:r>
    </w:p>
    <w:p>
      <w:pPr>
        <w:pStyle w:val="ListBullet"/>
        <w:spacing w:after="40"/>
        <w:ind w:left="720"/>
      </w:pPr>
      <w:r>
        <w:rPr>
          <w:sz w:val="20"/>
        </w:rPr>
        <w:t>MAT continuation post-detox (long-term medication management)</w:t>
      </w:r>
    </w:p>
    <w:p>
      <w:pPr>
        <w:pStyle w:val="ListBullet"/>
        <w:spacing w:after="40"/>
        <w:ind w:left="720"/>
      </w:pPr>
      <w:r>
        <w:rPr>
          <w:sz w:val="20"/>
        </w:rPr>
        <w:t>Why MAT is not "replacing one addiction with another" (FDA-supported clinical framing)</w:t>
      </w:r>
    </w:p>
    <w:p>
      <w:pPr>
        <w:pStyle w:val="ListNumber"/>
        <w:spacing w:after="40"/>
      </w:pPr>
      <w:r>
        <w:rPr>
          <w:b/>
          <w:sz w:val="20"/>
        </w:rPr>
        <w:t>For which substance:</w:t>
      </w:r>
    </w:p>
    <w:p>
      <w:pPr>
        <w:pStyle w:val="ListBullet"/>
        <w:spacing w:after="40"/>
        <w:ind w:left="720"/>
      </w:pPr>
      <w:r>
        <w:rPr>
          <w:sz w:val="20"/>
        </w:rPr>
        <w:t>Heroin / fentanyl / prescription opioids (oxycodone / hydrocodone / morphine)</w:t>
      </w:r>
    </w:p>
    <w:p>
      <w:pPr>
        <w:pStyle w:val="ListBullet"/>
        <w:spacing w:after="40"/>
        <w:ind w:left="720"/>
      </w:pPr>
      <w:r>
        <w:rPr>
          <w:sz w:val="20"/>
        </w:rPr>
        <w:t>Polysubstance: opioid + benzo, opioid + alcohol overlap</w:t>
      </w:r>
    </w:p>
    <w:p>
      <w:pPr>
        <w:pStyle w:val="ListBullet"/>
        <w:spacing w:after="40"/>
        <w:ind w:left="720"/>
      </w:pPr>
      <w:r>
        <w:rPr>
          <w:sz w:val="20"/>
        </w:rPr>
        <w:t>Cross-link to /services/benzodiazepines-detox-services for benzo overlap</w:t>
      </w:r>
    </w:p>
    <w:p>
      <w:pPr>
        <w:pStyle w:val="ListNumber"/>
        <w:spacing w:after="40"/>
      </w:pPr>
      <w:r>
        <w:rPr>
          <w:b/>
          <w:sz w:val="20"/>
        </w:rPr>
        <w:t>Insurance &amp; affordability:</w:t>
      </w:r>
    </w:p>
    <w:p>
      <w:pPr>
        <w:pStyle w:val="ListBullet"/>
        <w:spacing w:after="40"/>
        <w:ind w:left="720"/>
      </w:pPr>
      <w:r>
        <w:rPr>
          <w:sz w:val="20"/>
        </w:rPr>
        <w:t>Medicaid MAT coverage (federal mandate)</w:t>
      </w:r>
    </w:p>
    <w:p>
      <w:pPr>
        <w:pStyle w:val="ListBullet"/>
        <w:spacing w:after="40"/>
        <w:ind w:left="720"/>
      </w:pPr>
      <w:r>
        <w:rPr>
          <w:sz w:val="20"/>
        </w:rPr>
        <w:t>Commercial carrier list (Owner Items #2)</w:t>
      </w:r>
    </w:p>
    <w:p>
      <w:pPr>
        <w:pStyle w:val="ListBullet"/>
        <w:spacing w:after="40"/>
        <w:ind w:left="720"/>
      </w:pPr>
      <w:r>
        <w:rPr>
          <w:sz w:val="20"/>
        </w:rPr>
        <w:t>Verify-insurance step</w:t>
      </w:r>
    </w:p>
    <w:p>
      <w:pPr>
        <w:pStyle w:val="ListNumber"/>
        <w:spacing w:after="40"/>
      </w:pPr>
      <w:r>
        <w:rPr>
          <w:b/>
          <w:sz w:val="20"/>
        </w:rPr>
        <w:t>Areas We Serve:</w:t>
      </w:r>
    </w:p>
    <w:p>
      <w:pPr>
        <w:pStyle w:val="ListBullet"/>
        <w:spacing w:after="40"/>
        <w:ind w:left="720"/>
      </w:pPr>
      <w:r>
        <w:rPr>
          <w:sz w:val="20"/>
        </w:rPr>
        <w:t>Same 10-neighborhood enumeration as SP-01</w:t>
      </w:r>
    </w:p>
    <w:p>
      <w:pPr>
        <w:pStyle w:val="ListNumber"/>
        <w:spacing w:after="40"/>
      </w:pPr>
      <w:r>
        <w:rPr>
          <w:b/>
          <w:sz w:val="20"/>
        </w:rPr>
        <w:t>FAQ block (7-9 Qs):</w:t>
      </w:r>
    </w:p>
    <w:p>
      <w:pPr>
        <w:pStyle w:val="ListBullet"/>
        <w:spacing w:after="40"/>
        <w:ind w:left="720"/>
      </w:pPr>
      <w:r>
        <w:rPr>
          <w:sz w:val="20"/>
        </w:rPr>
        <w:t>"Is MAT replacing one addiction with another?"</w:t>
      </w:r>
    </w:p>
    <w:p>
      <w:pPr>
        <w:pStyle w:val="ListBullet"/>
        <w:spacing w:after="40"/>
        <w:ind w:left="720"/>
      </w:pPr>
      <w:r>
        <w:rPr>
          <w:sz w:val="20"/>
        </w:rPr>
        <w:t>"How long do I stay on Suboxone?"</w:t>
      </w:r>
    </w:p>
    <w:p>
      <w:pPr>
        <w:pStyle w:val="ListBullet"/>
        <w:spacing w:after="40"/>
        <w:ind w:left="720"/>
      </w:pPr>
      <w:r>
        <w:rPr>
          <w:sz w:val="20"/>
        </w:rPr>
        <w:t>"Suboxone vs Vivitrol — which is right?"</w:t>
      </w:r>
    </w:p>
    <w:p>
      <w:pPr>
        <w:pStyle w:val="ListBullet"/>
        <w:spacing w:after="40"/>
        <w:ind w:left="720"/>
      </w:pPr>
      <w:r>
        <w:rPr>
          <w:sz w:val="20"/>
        </w:rPr>
        <w:t>"Will my insurance cover MAT in Brooklyn?"</w:t>
      </w:r>
    </w:p>
    <w:p>
      <w:pPr>
        <w:pStyle w:val="ListBullet"/>
        <w:spacing w:after="40"/>
        <w:ind w:left="720"/>
      </w:pPr>
      <w:r>
        <w:rPr>
          <w:sz w:val="20"/>
        </w:rPr>
        <w:t>"Same-day MAT admission?"</w:t>
      </w:r>
    </w:p>
    <w:p>
      <w:pPr>
        <w:pStyle w:val="ListBullet"/>
        <w:spacing w:after="40"/>
        <w:ind w:left="720"/>
      </w:pPr>
      <w:r>
        <w:rPr>
          <w:sz w:val="20"/>
        </w:rPr>
        <w:t>"Can I get MAT as an outpatient?"</w:t>
      </w:r>
    </w:p>
    <w:p>
      <w:pPr>
        <w:pStyle w:val="ListBullet"/>
        <w:spacing w:after="40"/>
        <w:ind w:left="720"/>
      </w:pPr>
      <w:r>
        <w:rPr>
          <w:sz w:val="20"/>
        </w:rPr>
        <w:t>"Do you offer methadone?" (gated on Owner Items #1)</w:t>
      </w:r>
    </w:p>
    <w:p>
      <w:pPr>
        <w:pStyle w:val="ListNumber"/>
        <w:spacing w:after="40"/>
      </w:pPr>
      <w:r>
        <w:rPr>
          <w:b/>
          <w:sz w:val="20"/>
        </w:rPr>
        <w:t>CTA footer:</w:t>
      </w:r>
      <w:r>
        <w:rPr>
          <w:sz w:val="20"/>
        </w:rPr>
        <w:t xml:space="preserve"> Phone 646-347-1892 + form + Maps embed</w:t>
      </w:r>
    </w:p>
    <w:p>
      <w:pPr>
        <w:spacing w:after="80"/>
      </w:pPr>
      <w:r>
        <w:rPr>
          <w:b/>
          <w:sz w:val="20"/>
        </w:rPr>
        <w:t>Target length:</w:t>
      </w:r>
      <w:r>
        <w:rPr>
          <w:sz w:val="20"/>
        </w:rPr>
        <w:t xml:space="preserve"> 1,400-1,600 words</w:t>
      </w:r>
    </w:p>
    <w:p>
      <w:pPr>
        <w:spacing w:after="80"/>
      </w:pPr>
      <w:r>
        <w:rPr>
          <w:b/>
          <w:sz w:val="20"/>
        </w:rPr>
        <w:t>Schema:</w:t>
      </w:r>
      <w:r>
        <w:rPr>
          <w:sz w:val="20"/>
        </w:rPr>
        <w:t xml:space="preserve"> Same as SP-01 with </w:t>
      </w:r>
      <w:r>
        <w:rPr>
          <w:rFonts w:ascii="Consolas" w:hAnsi="Consolas"/>
          <w:sz w:val="18"/>
        </w:rPr>
        <w:t>MedicalProcedure</w:t>
      </w:r>
      <w:r>
        <w:rPr>
          <w:sz w:val="20"/>
        </w:rPr>
        <w:t xml:space="preserve"> subtypes per MAT modality.</w:t>
      </w:r>
    </w:p>
    <w:p>
      <w:pPr>
        <w:spacing w:after="80"/>
      </w:pPr>
      <w:r>
        <w:rPr>
          <w:b/>
          <w:sz w:val="20"/>
        </w:rPr>
        <w:t>Internal links FROM (per Internal_Linking_Map.csv):</w:t>
      </w:r>
    </w:p>
    <w:p>
      <w:pPr>
        <w:pStyle w:val="ListBullet"/>
        <w:spacing w:after="40"/>
      </w:pPr>
      <w:r>
        <w:rPr>
          <w:sz w:val="20"/>
        </w:rPr>
        <w:t xml:space="preserve">IL-07: </w:t>
      </w:r>
      <w:r>
        <w:rPr>
          <w:rFonts w:ascii="Consolas" w:hAnsi="Consolas"/>
          <w:sz w:val="18"/>
        </w:rPr>
        <w:t>/</w:t>
      </w:r>
      <w:r>
        <w:rPr>
          <w:sz w:val="20"/>
        </w:rPr>
        <w:t xml:space="preserve"> primary nav</w:t>
      </w:r>
    </w:p>
    <w:p>
      <w:pPr>
        <w:pStyle w:val="ListBullet"/>
        <w:spacing w:after="40"/>
      </w:pPr>
      <w:r>
        <w:rPr>
          <w:sz w:val="20"/>
        </w:rPr>
        <w:t xml:space="preserve">IL-08: </w:t>
      </w:r>
      <w:r>
        <w:rPr>
          <w:rFonts w:ascii="Consolas" w:hAnsi="Consolas"/>
          <w:sz w:val="18"/>
        </w:rPr>
        <w:t>/locations/red-hook-ny</w:t>
      </w:r>
      <w:r>
        <w:rPr>
          <w:sz w:val="20"/>
        </w:rPr>
        <w:t xml:space="preserve"> body "Services"</w:t>
      </w:r>
    </w:p>
    <w:p>
      <w:pPr>
        <w:pStyle w:val="ListBullet"/>
        <w:spacing w:after="40"/>
      </w:pPr>
      <w:r>
        <w:rPr>
          <w:sz w:val="20"/>
        </w:rPr>
        <w:t xml:space="preserve">IL-11: </w:t>
      </w:r>
      <w:r>
        <w:rPr>
          <w:rFonts w:ascii="Consolas" w:hAnsi="Consolas"/>
          <w:sz w:val="18"/>
        </w:rPr>
        <w:t>/blog/medicaid-detox-brooklyn</w:t>
      </w:r>
      <w:r>
        <w:rPr>
          <w:sz w:val="20"/>
        </w:rPr>
        <w:t xml:space="preserve"> body + end-block (CON-03 Q-format article publishes M3 — cross-pollinates)</w:t>
      </w:r>
    </w:p>
    <w:p>
      <w:pPr>
        <w:spacing w:after="80"/>
      </w:pPr>
      <w:r>
        <w:rPr>
          <w:b/>
          <w:sz w:val="20"/>
        </w:rPr>
        <w:t>Internal links TO:</w:t>
      </w:r>
    </w:p>
    <w:p>
      <w:pPr>
        <w:pStyle w:val="ListBullet"/>
        <w:spacing w:after="40"/>
      </w:pPr>
      <w:r>
        <w:rPr>
          <w:sz w:val="20"/>
        </w:rPr>
        <w:t xml:space="preserve">IL-09: </w:t>
      </w:r>
      <w:r>
        <w:rPr>
          <w:rFonts w:ascii="Consolas" w:hAnsi="Consolas"/>
          <w:sz w:val="18"/>
        </w:rPr>
        <w:t>/services/alcohol-detoxification-service</w:t>
      </w:r>
      <w:r>
        <w:rPr>
          <w:sz w:val="20"/>
        </w:rPr>
        <w:t xml:space="preserve"> body "Polysubstance"</w:t>
      </w:r>
    </w:p>
    <w:p>
      <w:pPr>
        <w:pStyle w:val="ListBullet"/>
        <w:spacing w:after="40"/>
      </w:pPr>
      <w:r>
        <w:rPr>
          <w:sz w:val="20"/>
        </w:rPr>
        <w:t xml:space="preserve">IL-10: </w:t>
      </w:r>
      <w:r>
        <w:rPr>
          <w:rFonts w:ascii="Consolas" w:hAnsi="Consolas"/>
          <w:sz w:val="18"/>
        </w:rPr>
        <w:t>/admission-overview</w:t>
      </w:r>
      <w:r>
        <w:rPr>
          <w:sz w:val="20"/>
        </w:rPr>
        <w:t xml:space="preserve"> hero CTA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Page live at 1,400+ words</w:t>
      </w:r>
    </w:p>
    <w:p>
      <w:pPr>
        <w:pStyle w:val="ListBullet"/>
        <w:spacing w:after="40"/>
      </w:pPr>
      <w:r>
        <w:rPr>
          <w:sz w:val="20"/>
        </w:rPr>
        <w:t>Service + LocalBusiness + FAQPage + MedicalProcedure schema validate</w:t>
      </w:r>
    </w:p>
    <w:p>
      <w:pPr>
        <w:pStyle w:val="ListBullet"/>
        <w:spacing w:after="40"/>
      </w:pPr>
      <w:r>
        <w:rPr>
          <w:sz w:val="20"/>
        </w:rPr>
        <w:t>RRT pass</w:t>
      </w:r>
    </w:p>
    <w:p>
      <w:pPr>
        <w:pStyle w:val="ListBullet"/>
        <w:spacing w:after="40"/>
      </w:pPr>
      <w:r>
        <w:rPr>
          <w:sz w:val="20"/>
        </w:rPr>
        <w:t>Request Indexing submitted within 14d</w:t>
      </w:r>
    </w:p>
    <w:p>
      <w:pPr>
        <w:pStyle w:val="ListBullet"/>
        <w:spacing w:after="40"/>
      </w:pPr>
      <w:r>
        <w:rPr>
          <w:sz w:val="20"/>
        </w:rPr>
        <w:t>30-day CTR delta captured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3 — Homepage NAP JSON-LD fix (HP-01, M1)</w:t>
      </w:r>
    </w:p>
    <w:p>
      <w:pPr>
        <w:spacing w:after="80"/>
      </w:pPr>
      <w:r>
        <w:rPr>
          <w:b/>
          <w:sz w:val="20"/>
        </w:rPr>
        <w:t>URL:</w:t>
      </w:r>
      <w:r>
        <w:rPr>
          <w:sz w:val="20"/>
        </w:rPr>
        <w:t xml:space="preserve"> </w:t>
      </w:r>
      <w:r>
        <w:rPr>
          <w:rFonts w:ascii="Consolas" w:hAnsi="Consolas"/>
          <w:sz w:val="18"/>
        </w:rPr>
        <w:t>/</w:t>
      </w:r>
      <w:r>
        <w:rPr>
          <w:sz w:val="20"/>
        </w:rPr>
        <w:t xml:space="preserve"> (homepage)</w:t>
      </w:r>
    </w:p>
    <w:p>
      <w:pPr>
        <w:spacing w:after="80"/>
      </w:pPr>
      <w:r>
        <w:rPr>
          <w:b/>
          <w:sz w:val="20"/>
        </w:rPr>
        <w:t>Action:</w:t>
      </w:r>
      <w:r>
        <w:rPr>
          <w:sz w:val="20"/>
        </w:rPr>
        <w:t xml:space="preserve"> One-line view-source schema edit</w:t>
      </w:r>
    </w:p>
    <w:p>
      <w:pPr>
        <w:spacing w:after="80"/>
      </w:pPr>
      <w:r>
        <w:rPr>
          <w:b/>
          <w:sz w:val="20"/>
        </w:rPr>
        <w:t>Specific change:</w:t>
      </w:r>
    </w:p>
    <w:p>
      <w:pPr>
        <w:pStyle w:val="ListBullet"/>
        <w:spacing w:after="40"/>
      </w:pPr>
      <w:r>
        <w:rPr>
          <w:sz w:val="20"/>
        </w:rPr>
        <w:t xml:space="preserve">LocalBusiness JSON-LD </w:t>
      </w:r>
      <w:r>
        <w:rPr>
          <w:rFonts w:ascii="Consolas" w:hAnsi="Consolas"/>
          <w:sz w:val="18"/>
        </w:rPr>
        <w:t>telephone</w:t>
      </w:r>
      <w:r>
        <w:rPr>
          <w:sz w:val="20"/>
        </w:rPr>
        <w:t xml:space="preserve"> property</w:t>
      </w:r>
    </w:p>
    <w:p>
      <w:pPr>
        <w:pStyle w:val="ListBullet"/>
        <w:spacing w:after="40"/>
      </w:pPr>
      <w:r>
        <w:rPr>
          <w:sz w:val="20"/>
        </w:rPr>
        <w:t xml:space="preserve">FROM: </w:t>
      </w:r>
      <w:r>
        <w:rPr>
          <w:rFonts w:ascii="Consolas" w:hAnsi="Consolas"/>
          <w:sz w:val="18"/>
        </w:rPr>
        <w:t>+1-646-960-6656</w:t>
      </w:r>
    </w:p>
    <w:p>
      <w:pPr>
        <w:pStyle w:val="ListBullet"/>
        <w:spacing w:after="40"/>
      </w:pPr>
      <w:r>
        <w:rPr>
          <w:sz w:val="20"/>
        </w:rPr>
        <w:t xml:space="preserve">TO: </w:t>
      </w:r>
      <w:r>
        <w:rPr>
          <w:rFonts w:ascii="Consolas" w:hAnsi="Consolas"/>
          <w:sz w:val="18"/>
        </w:rPr>
        <w:t>+1-646-347-1892</w:t>
      </w:r>
      <w:r>
        <w:rPr>
          <w:sz w:val="20"/>
        </w:rPr>
        <w:t xml:space="preserve"> (GBP canonical)</w:t>
      </w:r>
    </w:p>
    <w:p>
      <w:pPr>
        <w:spacing w:after="80"/>
      </w:pPr>
      <w:r>
        <w:rPr>
          <w:b/>
          <w:sz w:val="20"/>
        </w:rPr>
        <w:t>No other on-page changes required.</w:t>
      </w:r>
      <w:r>
        <w:rPr>
          <w:sz w:val="20"/>
        </w:rPr>
        <w:t xml:space="preserve"> This is the only schema block sitewide.</w:t>
      </w:r>
    </w:p>
    <w:p>
      <w:pPr>
        <w:spacing w:after="80"/>
      </w:pPr>
      <w:r>
        <w:rPr>
          <w:b/>
          <w:sz w:val="20"/>
        </w:rPr>
        <w:t>Workflow:</w:t>
      </w:r>
    </w:p>
    <w:p>
      <w:pPr>
        <w:pStyle w:val="ListNumber"/>
        <w:spacing w:after="40"/>
      </w:pPr>
      <w:r>
        <w:rPr>
          <w:sz w:val="20"/>
        </w:rPr>
        <w:t>View-source on urbanrecovery.com/</w:t>
      </w:r>
    </w:p>
    <w:p>
      <w:pPr>
        <w:pStyle w:val="ListNumber"/>
        <w:spacing w:after="40"/>
      </w:pPr>
      <w:r>
        <w:rPr>
          <w:sz w:val="20"/>
        </w:rPr>
        <w:t>Locate LocalBusiness JSON-LD block</w:t>
      </w:r>
    </w:p>
    <w:p>
      <w:pPr>
        <w:pStyle w:val="ListNumber"/>
        <w:spacing w:after="40"/>
      </w:pPr>
      <w:r>
        <w:rPr>
          <w:sz w:val="20"/>
        </w:rPr>
        <w:t>Replace telephone value</w:t>
      </w:r>
    </w:p>
    <w:p>
      <w:pPr>
        <w:pStyle w:val="ListNumber"/>
        <w:spacing w:after="40"/>
      </w:pPr>
      <w:r>
        <w:rPr>
          <w:sz w:val="20"/>
        </w:rPr>
        <w:t>RRT pass (validator.schema.org)</w:t>
      </w:r>
    </w:p>
    <w:p>
      <w:pPr>
        <w:pStyle w:val="ListNumber"/>
        <w:spacing w:after="40"/>
      </w:pPr>
      <w:r>
        <w:rPr>
          <w:sz w:val="20"/>
        </w:rPr>
        <w:t>Deploy via WordPress / theme file edit</w:t>
      </w:r>
    </w:p>
    <w:p>
      <w:pPr>
        <w:pStyle w:val="ListNumber"/>
        <w:spacing w:after="40"/>
      </w:pPr>
      <w:r>
        <w:rPr>
          <w:sz w:val="20"/>
        </w:rPr>
        <w:t>Request GSC re-crawl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View-source confirms GBP-canonical phone in JSON-LD</w:t>
      </w:r>
    </w:p>
    <w:p>
      <w:pPr>
        <w:pStyle w:val="ListBullet"/>
        <w:spacing w:after="40"/>
      </w:pPr>
      <w:r>
        <w:rPr>
          <w:sz w:val="20"/>
        </w:rPr>
        <w:t>RRT pass</w:t>
      </w:r>
    </w:p>
    <w:p>
      <w:pPr>
        <w:pStyle w:val="ListBullet"/>
        <w:spacing w:after="40"/>
      </w:pPr>
      <w:r>
        <w:rPr>
          <w:sz w:val="20"/>
        </w:rPr>
        <w:t>GSC re-crawl requested</w:t>
      </w:r>
    </w:p>
    <w:p>
      <w:pPr>
        <w:pStyle w:val="ListBullet"/>
        <w:spacing w:after="40"/>
      </w:pPr>
      <w:r>
        <w:rPr>
          <w:sz w:val="20"/>
        </w:rPr>
        <w:t xml:space="preserve">Status logged in </w:t>
      </w:r>
      <w:r>
        <w:rPr>
          <w:rFonts w:ascii="Consolas" w:hAnsi="Consolas"/>
          <w:sz w:val="18"/>
        </w:rPr>
        <w:t>Urban_Recovery_Pages_Action_List.csv</w:t>
      </w:r>
      <w:r>
        <w:rPr>
          <w:sz w:val="20"/>
        </w:rPr>
        <w:t xml:space="preserve"> row PA-01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Section 4 — Page refresh on 12 conversion-intent URLs (ON-02, M2)</w:t>
      </w:r>
    </w:p>
    <w:p>
      <w:pPr>
        <w:spacing w:after="80"/>
      </w:pPr>
      <w:r>
        <w:rPr>
          <w:b/>
          <w:sz w:val="20"/>
        </w:rPr>
        <w:t>Scope:</w:t>
      </w:r>
      <w:r>
        <w:rPr>
          <w:sz w:val="20"/>
        </w:rPr>
        <w:t xml:space="preserve"> Visible page elements (H1 + hero + body + intake CTA + phone) per </w:t>
      </w:r>
      <w:r>
        <w:rPr>
          <w:rFonts w:ascii="Consolas" w:hAnsi="Consolas"/>
          <w:sz w:val="18"/>
        </w:rPr>
        <w:t>feedback_hqdm_on_page_visible_only.md</w:t>
      </w:r>
      <w:r>
        <w:rPr>
          <w:sz w:val="20"/>
        </w:rPr>
        <w:t xml:space="preserve">. </w:t>
      </w:r>
      <w:r>
        <w:rPr>
          <w:b/>
          <w:sz w:val="20"/>
        </w:rPr>
        <w:t>No meta-description work</w:t>
      </w:r>
      <w:r>
        <w:rPr>
          <w:sz w:val="20"/>
        </w:rPr>
        <w:t xml:space="preserve"> (not a strategic lever per </w:t>
      </w:r>
      <w:r>
        <w:rPr>
          <w:rFonts w:ascii="Consolas" w:hAnsi="Consolas"/>
          <w:sz w:val="18"/>
        </w:rPr>
        <w:t>feedback_dont_overweight_meta_descriptions.md</w:t>
      </w:r>
      <w:r>
        <w:rPr>
          <w:sz w:val="20"/>
        </w:rPr>
        <w:t xml:space="preserve">). </w:t>
      </w:r>
      <w:r>
        <w:rPr>
          <w:b/>
          <w:sz w:val="20"/>
        </w:rPr>
        <w:t>No schema deploy</w:t>
      </w:r>
      <w:r>
        <w:rPr>
          <w:sz w:val="20"/>
        </w:rPr>
        <w:t xml:space="preserve"> this quarter beyond SP-01/SP-02 — full schema rollout is Q3.</w:t>
      </w:r>
    </w:p>
    <w:p>
      <w:pPr>
        <w:spacing w:after="80"/>
      </w:pPr>
      <w:r>
        <w:rPr>
          <w:b/>
          <w:sz w:val="20"/>
        </w:rPr>
        <w:t>12 URLs (per `Urban_Recovery_Pages_Action_List.csv` rows PA-05 through PA-14):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Row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484"/>
            <w:shd w:fill="0B1726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Specific changes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PA-05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/services/short-term-residential-program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Counter SNF category drift</w:t>
            </w:r>
            <w:r>
              <w:rPr>
                <w:sz w:val="18"/>
              </w:rPr>
              <w:t xml:space="preserve"> (Push 4 section 1)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H1 to "Inpatient Drug &amp; Alcohol Rehab in Brooklyn — 24-Hour Medical Supervision". Hero explicit "inpatient" framing. Body "Why inpatient vs SNF" block. Intake CTA above fold.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PA-06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/services/alcohol-detoxification-service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Covered by SP-01 PA-02 full upgrade M2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(subsumed)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PA-07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/services/drug-detoxification-services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Part of 9,269-query bleed cluster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H1 to "Drug Detox in Brooklyn — Medical Supervision at Urban Recovery". Substances we detox enumeration with links to specific service pages. Intake CTA above fold.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PA-08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/services/benzodiazepines-detox-services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Same cluster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H1 to "Benzodiazepine Detox in Brooklyn — Medically Supervised Taper". Hero emphasizes seizure risk of unsupervised benzo withdrawal. Taper protocol body.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PA-09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/admission-overview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High-intent conversion page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H1 emphasizes 24-hour same-day-admission + Red Hook. Hero walks through 4-step admission flow. Body: insurance verification + transportation + Areas We Serve.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PA-10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/about-us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Hide-the-differentiator problem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Lead with women-owned + LGBTQ+ + transgender-safespace differentiators in hero. Clinical-lead bio block (Owner Items #4 gated).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PA-11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/reviews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Conversion-adjacent page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Featured 3-5 positive recent reviews with intake CTA between blocks.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PA-12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/our-programs-overview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Program directory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Program table linking to /services/*. Intake CTA above fold.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PA-13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/contact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Conversion page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Phone hero-prominent. 24/7 framing. Map embed verified pointing to 411 Van Brunt.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PA-14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/insurance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High-intent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Medicaid acceptance hero (Owner Items #2 gated). Commercial-carrier list. Verify-insurance step.</w:t>
            </w:r>
          </w:p>
        </w:tc>
      </w:tr>
    </w:tbl>
    <w:p/>
    <w:p>
      <w:pPr>
        <w:spacing w:after="80"/>
      </w:pPr>
      <w:r>
        <w:rPr>
          <w:b/>
          <w:sz w:val="20"/>
        </w:rPr>
        <w:t>Workflow per URL:</w:t>
      </w:r>
    </w:p>
    <w:p>
      <w:pPr>
        <w:pStyle w:val="ListNumber"/>
        <w:spacing w:after="40"/>
      </w:pPr>
      <w:r>
        <w:rPr>
          <w:sz w:val="20"/>
        </w:rPr>
        <w:t>Pre-edit screenshot</w:t>
      </w:r>
    </w:p>
    <w:p>
      <w:pPr>
        <w:pStyle w:val="ListNumber"/>
        <w:spacing w:after="40"/>
      </w:pPr>
      <w:r>
        <w:rPr>
          <w:sz w:val="20"/>
        </w:rPr>
        <w:t>WordPress visible-elements edit</w:t>
      </w:r>
    </w:p>
    <w:p>
      <w:pPr>
        <w:pStyle w:val="ListNumber"/>
        <w:spacing w:after="40"/>
      </w:pPr>
      <w:r>
        <w:rPr>
          <w:sz w:val="20"/>
        </w:rPr>
        <w:t>Post-edit screenshot</w:t>
      </w:r>
    </w:p>
    <w:p>
      <w:pPr>
        <w:pStyle w:val="ListNumber"/>
        <w:spacing w:after="40"/>
      </w:pPr>
      <w:r>
        <w:rPr>
          <w:sz w:val="20"/>
        </w:rPr>
        <w:t>Verify intake phone matches GBP canonical (646-347-1892)</w:t>
      </w:r>
    </w:p>
    <w:p>
      <w:pPr>
        <w:pStyle w:val="ListNumber"/>
        <w:spacing w:after="40"/>
      </w:pPr>
      <w:r>
        <w:rPr>
          <w:sz w:val="20"/>
        </w:rPr>
        <w:t>Verify body links route per Internal_Linking_Map.csv</w:t>
      </w:r>
    </w:p>
    <w:p>
      <w:pPr>
        <w:pStyle w:val="ListNumber"/>
        <w:spacing w:after="40"/>
      </w:pPr>
      <w:r>
        <w:rPr>
          <w:sz w:val="20"/>
        </w:rPr>
        <w:t>GSC URL Inspection re-crawl submission</w:t>
      </w:r>
    </w:p>
    <w:p>
      <w:pPr>
        <w:pStyle w:val="ListNumber"/>
        <w:spacing w:after="40"/>
      </w:pPr>
      <w:r>
        <w:rPr>
          <w:sz w:val="20"/>
        </w:rPr>
        <w:t>CTR delta captured 30 days post-deploy in REP-02</w:t>
      </w:r>
    </w:p>
    <w:p>
      <w:pPr>
        <w:spacing w:after="80"/>
      </w:pPr>
      <w:r>
        <w:rPr>
          <w:b/>
          <w:sz w:val="20"/>
        </w:rPr>
        <w:t>Acceptance:</w:t>
      </w:r>
    </w:p>
    <w:p>
      <w:pPr>
        <w:pStyle w:val="ListBullet"/>
        <w:spacing w:after="40"/>
      </w:pPr>
      <w:r>
        <w:rPr>
          <w:sz w:val="20"/>
        </w:rPr>
        <w:t>12 URLs have visible page refreshes deployed</w:t>
      </w:r>
    </w:p>
    <w:p>
      <w:pPr>
        <w:pStyle w:val="ListBullet"/>
        <w:spacing w:after="40"/>
      </w:pPr>
      <w:r>
        <w:rPr>
          <w:sz w:val="20"/>
        </w:rPr>
        <w:t>Screenshots filed per URL pre/post</w:t>
      </w:r>
    </w:p>
    <w:p>
      <w:pPr>
        <w:pStyle w:val="ListBullet"/>
        <w:spacing w:after="40"/>
      </w:pPr>
      <w:r>
        <w:rPr>
          <w:sz w:val="20"/>
        </w:rPr>
        <w:t>GSC URL Inspection re-crawl submitted</w:t>
      </w:r>
    </w:p>
    <w:p>
      <w:pPr>
        <w:pStyle w:val="ListBullet"/>
        <w:spacing w:after="40"/>
      </w:pPr>
      <w:r>
        <w:rPr>
          <w:sz w:val="20"/>
        </w:rPr>
        <w:t>30-day CTR delta logged per URL</w:t>
      </w:r>
    </w:p>
    <w:p>
      <w:pPr>
        <w:spacing w:before="40" w:after="40"/>
      </w:pPr>
      <w:r>
        <w:rPr>
          <w:color w:val="CCCCCC"/>
        </w:rPr>
        <w:t>____________________________________________________________</w:t>
      </w:r>
    </w:p>
    <w:p>
      <w:pPr>
        <w:spacing w:before="240" w:after="80"/>
      </w:pPr>
      <w:r>
        <w:rPr>
          <w:b/>
          <w:color w:val="0B1726"/>
          <w:sz w:val="28"/>
        </w:rPr>
        <w:t>Aggregate acceptance criteria</w:t>
      </w:r>
    </w:p>
    <w:p>
      <w:pPr>
        <w:pStyle w:val="ListBullet"/>
        <w:spacing w:after="40"/>
      </w:pPr>
      <w:r>
        <w:rPr>
          <w:sz w:val="20"/>
        </w:rPr>
        <w:t>HP-01 NAP fix deployed M1 W1</w:t>
      </w:r>
    </w:p>
    <w:p>
      <w:pPr>
        <w:pStyle w:val="ListBullet"/>
        <w:spacing w:after="40"/>
      </w:pPr>
      <w:r>
        <w:rPr>
          <w:sz w:val="20"/>
        </w:rPr>
        <w:t>SP-01 + SP-02 service-page upgrades indexed within 14d of publish</w:t>
      </w:r>
    </w:p>
    <w:p>
      <w:pPr>
        <w:pStyle w:val="ListBullet"/>
        <w:spacing w:after="40"/>
      </w:pPr>
      <w:r>
        <w:rPr>
          <w:sz w:val="20"/>
        </w:rPr>
        <w:t>12 ON-02 URLs refreshed in M2 with screenshot evidence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recovery center brooklyn</w:t>
      </w:r>
      <w:r>
        <w:rPr>
          <w:sz w:val="20"/>
        </w:rPr>
        <w:t xml:space="preserve"> CTR moves 0% → ≥3% within 60d of SP-01 publish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/services/alcohol-detoxification-service</w:t>
      </w:r>
      <w:r>
        <w:rPr>
          <w:sz w:val="20"/>
        </w:rPr>
        <w:t xml:space="preserve"> ranks top-3 within 60d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/services/opioid-detoxification-services</w:t>
      </w:r>
      <w:r>
        <w:rPr>
          <w:sz w:val="20"/>
        </w:rPr>
        <w:t xml:space="preserve"> ranks top-3 within 60d</w:t>
      </w:r>
    </w:p>
    <w:p>
      <w:pPr>
        <w:pStyle w:val="ListBullet"/>
        <w:spacing w:after="40"/>
      </w:pPr>
      <w:r>
        <w:rPr>
          <w:sz w:val="20"/>
        </w:rPr>
        <w:t xml:space="preserve">30-day CTR delta logged per URL in </w:t>
      </w:r>
      <w:r>
        <w:rPr>
          <w:rFonts w:ascii="Consolas" w:hAnsi="Consolas"/>
          <w:sz w:val="18"/>
        </w:rPr>
        <w:t>Urban_Recovery_Reporting_Master_Template.csv</w:t>
      </w:r>
    </w:p>
    <w:p>
      <w:pPr>
        <w:spacing w:before="240" w:after="80"/>
      </w:pPr>
      <w:r>
        <w:rPr>
          <w:b/>
          <w:color w:val="0B1726"/>
          <w:sz w:val="28"/>
        </w:rPr>
        <w:t>Owner asks (Push 2)</w:t>
      </w:r>
    </w:p>
    <w:p>
      <w:pPr>
        <w:pStyle w:val="ListNumber"/>
        <w:spacing w:after="40"/>
      </w:pPr>
      <w:r>
        <w:rPr>
          <w:b/>
          <w:sz w:val="20"/>
        </w:rPr>
        <w:t>OASAS license number</w:t>
      </w:r>
      <w:r>
        <w:rPr>
          <w:sz w:val="20"/>
        </w:rPr>
        <w:t xml:space="preserve"> — needed for SP-01/SP-02 credential block + OFF-Citations_M1 (CARF/Joint Commission)</w:t>
      </w:r>
    </w:p>
    <w:p>
      <w:pPr>
        <w:pStyle w:val="ListNumber"/>
        <w:spacing w:after="40"/>
      </w:pPr>
      <w:r>
        <w:rPr>
          <w:b/>
          <w:sz w:val="20"/>
        </w:rPr>
        <w:t>Insurance carriers in-network confirmation</w:t>
      </w:r>
      <w:r>
        <w:rPr>
          <w:sz w:val="20"/>
        </w:rPr>
        <w:t xml:space="preserve"> — Aetna + Cigna + BCBS verification gates accurate insurance copy on SP-01/SP-02/ON-02-Insurance + OFF-Citations_M2 insurance directories</w:t>
      </w:r>
    </w:p>
    <w:p>
      <w:pPr>
        <w:pStyle w:val="ListNumber"/>
        <w:spacing w:after="40"/>
      </w:pPr>
      <w:r>
        <w:rPr>
          <w:b/>
          <w:sz w:val="20"/>
        </w:rPr>
        <w:t>CARF certification status</w:t>
      </w:r>
      <w:r>
        <w:rPr>
          <w:sz w:val="20"/>
        </w:rPr>
        <w:t xml:space="preserve"> — gates SP-01/SP-02 credential framing + OFF-Citations_M1; substitute Joint Commission Behavioral Health if not in place</w:t>
      </w:r>
    </w:p>
    <w:p>
      <w:pPr>
        <w:pStyle w:val="ListNumber"/>
        <w:spacing w:after="40"/>
      </w:pPr>
      <w:r>
        <w:rPr>
          <w:b/>
          <w:sz w:val="20"/>
        </w:rPr>
        <w:t>MAT modality scope</w:t>
      </w:r>
      <w:r>
        <w:rPr>
          <w:sz w:val="20"/>
        </w:rPr>
        <w:t xml:space="preserve"> — gates SP-02 methadone copy (on-site dispensing vs referral-network framing)</w:t>
      </w:r>
    </w:p>
    <w:p>
      <w:pPr>
        <w:spacing w:before="240" w:after="80"/>
      </w:pPr>
      <w:r>
        <w:rPr>
          <w:b/>
          <w:color w:val="0B1726"/>
          <w:sz w:val="28"/>
        </w:rPr>
        <w:t>Non-asks</w:t>
      </w:r>
    </w:p>
    <w:p>
      <w:pPr>
        <w:pStyle w:val="ListBullet"/>
        <w:spacing w:after="40"/>
      </w:pPr>
      <w:r>
        <w:rPr>
          <w:b/>
          <w:sz w:val="20"/>
        </w:rPr>
        <w:t>No meta-description work</w:t>
      </w:r>
      <w:r>
        <w:rPr>
          <w:sz w:val="20"/>
        </w:rPr>
        <w:t xml:space="preserve"> — not a strategic lever per </w:t>
      </w:r>
      <w:r>
        <w:rPr>
          <w:rFonts w:ascii="Consolas" w:hAnsi="Consolas"/>
          <w:sz w:val="18"/>
        </w:rPr>
        <w:t>feedback_dont_overweight_meta_descriptions.md</w:t>
      </w:r>
    </w:p>
    <w:p>
      <w:pPr>
        <w:pStyle w:val="ListBullet"/>
        <w:spacing w:after="40"/>
      </w:pPr>
      <w:r>
        <w:rPr>
          <w:b/>
          <w:sz w:val="20"/>
        </w:rPr>
        <w:t>No full SP-03 rebuild of /services/short-term-residential-program</w:t>
      </w:r>
      <w:r>
        <w:rPr>
          <w:sz w:val="20"/>
        </w:rPr>
        <w:t xml:space="preserve"> — visible refresh only this quarter; full rebuild Q3 after SP-01/SP-02 template proven</w:t>
      </w:r>
    </w:p>
    <w:p>
      <w:pPr>
        <w:pStyle w:val="ListBullet"/>
        <w:spacing w:after="40"/>
      </w:pPr>
      <w:r>
        <w:rPr>
          <w:b/>
          <w:sz w:val="20"/>
        </w:rPr>
        <w:t>No sitewide schema deploy</w:t>
      </w:r>
      <w:r>
        <w:rPr>
          <w:sz w:val="20"/>
        </w:rPr>
        <w:t xml:space="preserve"> — Q3 phase; SP-01/SP-02 are the schema-proof-of-template URLs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