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b/>
          <w:color w:val="0B1726"/>
          <w:sz w:val="36"/>
        </w:rPr>
        <w:t>Push 5 Brief — Off-Page Disavow + YMYL Trust + 6-Strategy Stack + Q-Format LLM Articles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Client:</w:t>
            </w:r>
            <w:r>
              <w:rPr>
                <w:b/>
                <w:color w:val="FFFFFF"/>
                <w:sz w:val="18"/>
              </w:rPr>
              <w:t xml:space="preserve"> Urban Recovery (Red Hook Brooklyn)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Quarter:</w:t>
            </w:r>
            <w:r>
              <w:rPr>
                <w:b/>
                <w:color w:val="FFFFFF"/>
                <w:sz w:val="18"/>
              </w:rPr>
              <w:t xml:space="preserve"> Q2 2026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Prepared:</w:t>
            </w:r>
            <w:r>
              <w:rPr>
                <w:b/>
                <w:color w:val="FFFFFF"/>
                <w:sz w:val="18"/>
              </w:rPr>
              <w:t xml:space="preserve"> 2026-05-18</w:t>
            </w:r>
          </w:p>
        </w:tc>
      </w:tr>
    </w:tbl>
    <w:p/>
    <w:p>
      <w:pPr>
        <w:spacing w:before="240" w:after="80"/>
      </w:pPr>
      <w:r>
        <w:rPr>
          <w:b/>
          <w:color w:val="0B1726"/>
          <w:sz w:val="28"/>
        </w:rPr>
        <w:t>Problem statement</w:t>
      </w:r>
    </w:p>
    <w:p>
      <w:pPr>
        <w:spacing w:after="80"/>
      </w:pPr>
      <w:r>
        <w:rPr>
          <w:sz w:val="20"/>
        </w:rPr>
        <w:t>Two related issues in UR's off-page profile:</w:t>
      </w:r>
    </w:p>
    <w:p>
      <w:pPr>
        <w:spacing w:after="80"/>
      </w:pPr>
      <w:r>
        <w:rPr>
          <w:b/>
          <w:sz w:val="20"/>
        </w:rPr>
        <w:t>1. PBN exposure — data-warranted disavow.</w:t>
      </w:r>
      <w:r>
        <w:rPr>
          <w:sz w:val="20"/>
        </w:rPr>
        <w:t xml:space="preserve"> DataForSEO Backlinks 2026-05-15:</w:t>
      </w:r>
    </w:p>
    <w:p>
      <w:pPr>
        <w:pStyle w:val="ListBullet"/>
        <w:spacing w:after="40"/>
      </w:pPr>
      <w:r>
        <w:rPr>
          <w:sz w:val="20"/>
        </w:rPr>
        <w:t xml:space="preserve">1,642 backlinks / 958 referring domains / </w:t>
      </w:r>
      <w:r>
        <w:rPr>
          <w:b/>
          <w:sz w:val="20"/>
        </w:rPr>
        <w:t>642 unique referring domains</w:t>
      </w:r>
      <w:r>
        <w:rPr>
          <w:sz w:val="20"/>
        </w:rPr>
        <w:t xml:space="preserve"> / domain spam-score 42</w:t>
      </w:r>
    </w:p>
    <w:p>
      <w:pPr>
        <w:pStyle w:val="ListBullet"/>
        <w:spacing w:after="40"/>
      </w:pPr>
      <w:r>
        <w:rPr>
          <w:b/>
          <w:sz w:val="20"/>
        </w:rPr>
        <w:t>395 of 642 RDs (61%) at spam-rating ≥30</w:t>
      </w:r>
    </w:p>
    <w:p>
      <w:pPr>
        <w:pStyle w:val="ListBullet"/>
        <w:spacing w:after="40"/>
      </w:pPr>
      <w:r>
        <w:rPr>
          <w:sz w:val="20"/>
        </w:rPr>
        <w:t>*</w:t>
      </w:r>
      <w:r>
        <w:rPr>
          <w:i/>
          <w:sz w:val="20"/>
        </w:rPr>
        <w:t>216 RDs match the `anomaly-seo-</w:t>
      </w:r>
      <w:r>
        <w:rPr>
          <w:rFonts w:ascii="Consolas" w:hAnsi="Consolas"/>
          <w:sz w:val="18"/>
        </w:rPr>
        <w:t xml:space="preserve"> / </w:t>
      </w:r>
      <w:r>
        <w:rPr>
          <w:sz w:val="20"/>
        </w:rPr>
        <w:t>seo-anomaly-</w:t>
      </w:r>
      <w:r>
        <w:rPr>
          <w:i/>
          <w:sz w:val="20"/>
        </w:rPr>
        <w:t>` PBN cluster</w:t>
      </w:r>
      <w:r>
        <w:rPr>
          <w:sz w:val="20"/>
        </w:rPr>
        <w:t>* (top RD reaches spam-rating 94)</w:t>
      </w:r>
    </w:p>
    <w:p>
      <w:pPr>
        <w:pStyle w:val="ListBullet"/>
        <w:spacing w:after="40"/>
      </w:pPr>
      <w:r>
        <w:rPr>
          <w:b/>
          <w:sz w:val="20"/>
        </w:rPr>
        <w:t>323 RDs use PBN-pattern TLDs</w:t>
      </w:r>
      <w:r>
        <w:rPr>
          <w:sz w:val="20"/>
        </w:rPr>
        <w:t xml:space="preserve"> (.online .website .site .space .xyz)</w:t>
      </w:r>
    </w:p>
    <w:p>
      <w:pPr>
        <w:spacing w:after="80"/>
      </w:pPr>
      <w:r>
        <w:rPr>
          <w:sz w:val="20"/>
        </w:rPr>
        <w:t xml:space="preserve">Per </w:t>
      </w:r>
      <w:r>
        <w:rPr>
          <w:rFonts w:ascii="Consolas" w:hAnsi="Consolas"/>
          <w:sz w:val="18"/>
        </w:rPr>
        <w:t>feedback_hqdm_disavow_is_data_driven.md</w:t>
      </w:r>
      <w:r>
        <w:rPr>
          <w:sz w:val="20"/>
        </w:rPr>
        <w:t xml:space="preserve"> — disavow is the right call here. Read the backlink scrape, file per-row decisions, upload disavow.txt to GSC M1, re-pull M3.</w:t>
      </w:r>
    </w:p>
    <w:p>
      <w:pPr>
        <w:spacing w:after="80"/>
      </w:pPr>
      <w:r>
        <w:rPr>
          <w:b/>
          <w:sz w:val="20"/>
        </w:rPr>
        <w:t>2. YMYL trust gap.</w:t>
      </w:r>
      <w:r>
        <w:rPr>
          <w:sz w:val="20"/>
        </w:rPr>
        <w:t xml:space="preserve"> UR's GBP attributes (</w:t>
      </w:r>
      <w:r>
        <w:rPr>
          <w:rFonts w:ascii="Consolas" w:hAnsi="Consolas"/>
          <w:sz w:val="18"/>
        </w:rPr>
        <w:t>is_owned_by_women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welcomes_lgbtq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is_transgender_safespace</w:t>
      </w:r>
      <w:r>
        <w:rPr>
          <w:sz w:val="20"/>
        </w:rPr>
        <w:t xml:space="preserve">) and clinical offerings (alcohol detox / drug detox / opioid detox / benzo detox / short-term residential) qualify the domain for critical-tier YMYL citations — but UR is not currently listed in SAMHSA findtreatment.gov / CARF / LegitScript / NAATP / Psychology Today / insurance directories. </w:t>
      </w:r>
      <w:r>
        <w:rPr>
          <w:b/>
          <w:sz w:val="20"/>
        </w:rPr>
        <w:t>YMYL signals are missing.</w:t>
      </w:r>
    </w:p>
    <w:p>
      <w:pPr>
        <w:spacing w:after="80"/>
      </w:pPr>
      <w:r>
        <w:rPr>
          <w:b/>
          <w:sz w:val="20"/>
        </w:rPr>
        <w:t>Plus the standard HQDM off-page stack</w:t>
      </w:r>
      <w:r>
        <w:rPr>
          <w:sz w:val="20"/>
        </w:rPr>
        <w:t xml:space="preserve"> (DAS + GBP Blast + GBP Sniper + RD100 + AI Articles + Driving Directions + NAP Overlay + GMB Pin Support) targeting cross-borough gap coords + supporting Push 2/3/4 URL launches.</w:t>
      </w:r>
    </w:p>
    <w:p>
      <w:pPr>
        <w:spacing w:after="80"/>
      </w:pPr>
      <w:r>
        <w:rPr>
          <w:b/>
          <w:sz w:val="20"/>
        </w:rPr>
        <w:t>Plus Q-format LLM articles</w:t>
      </w:r>
      <w:r>
        <w:rPr>
          <w:sz w:val="20"/>
        </w:rPr>
        <w:t xml:space="preserve"> (Push 5 section 4) — 3 articles M3 targeting UR's commercial differentiators (Medicaid / LGBTQ+ / women-owned) in Q-format that surfaces well in PAA + AI Overview.</w:t>
      </w:r>
    </w:p>
    <w:p>
      <w:pPr>
        <w:spacing w:after="80"/>
      </w:pPr>
      <w:r>
        <w:rPr>
          <w:b/>
          <w:sz w:val="20"/>
        </w:rPr>
        <w:t>Why Push 5 last:</w:t>
      </w:r>
      <w:r>
        <w:rPr>
          <w:sz w:val="20"/>
        </w:rPr>
        <w:t xml:space="preserve"> Push 5 reinforces Pushes 1-4 (disavow protects the on-page work; YMYL citations + 6-strategy stack amplify the new URLs; Q-format articles complete the differentiator surface). It's the off-page wrapper around the on-page + GBP work.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1 — Disavow build + upload (OFF-Disavow_M1)</w:t>
      </w:r>
    </w:p>
    <w:p>
      <w:pPr>
        <w:spacing w:after="80"/>
      </w:pPr>
      <w:r>
        <w:rPr>
          <w:b/>
          <w:sz w:val="20"/>
        </w:rPr>
        <w:t>Per `Urban_Recovery_Disavow_Plan.xlsx` Decisions tab.</w:t>
      </w:r>
    </w:p>
    <w:p>
      <w:pPr>
        <w:spacing w:after="80"/>
      </w:pPr>
      <w:r>
        <w:rPr>
          <w:b/>
          <w:sz w:val="20"/>
        </w:rPr>
        <w:t>Per-row decision rule: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RD attribute</w:t>
            </w:r>
          </w:p>
        </w:tc>
        <w:tc>
          <w:tcPr>
            <w:tcW w:type="dxa" w:w="4968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 xml:space="preserve">Spam-rating ≥30 AND in </w:t>
            </w:r>
            <w:r>
              <w:rPr>
                <w:rFonts w:ascii="Consolas" w:hAnsi="Consolas"/>
                <w:sz w:val="16"/>
              </w:rPr>
              <w:t>anomaly-seo-*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6"/>
              </w:rPr>
              <w:t>seo-anomaly-*</w:t>
            </w:r>
            <w:r>
              <w:rPr>
                <w:sz w:val="18"/>
              </w:rPr>
              <w:t xml:space="preserve"> cluster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DISAVOW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Spam-rating ≥30 AND PBN-TLD (.online / .website / .site / .space / .xyz)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DISAVOW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Spam-rating ≥30 AND no editorial context evidence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DISAVOW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Spam-rating ≥30 BUT legitimate publication (rare — verify)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Spam-rating &lt;30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KEEP (no review)</w:t>
            </w:r>
          </w:p>
        </w:tc>
      </w:tr>
    </w:tbl>
    <w:p/>
    <w:p>
      <w:pPr>
        <w:spacing w:after="80"/>
      </w:pPr>
      <w:r>
        <w:rPr>
          <w:b/>
          <w:sz w:val="20"/>
        </w:rPr>
        <w:t>Workflow:</w:t>
      </w:r>
    </w:p>
    <w:p>
      <w:pPr>
        <w:pStyle w:val="ListNumber"/>
        <w:spacing w:after="40"/>
      </w:pPr>
      <w:r>
        <w:rPr>
          <w:sz w:val="20"/>
        </w:rPr>
        <w:t xml:space="preserve">Open </w:t>
      </w:r>
      <w:r>
        <w:rPr>
          <w:rFonts w:ascii="Consolas" w:hAnsi="Consolas"/>
          <w:sz w:val="18"/>
        </w:rPr>
        <w:t>Urban_Recovery_Disavow_Plan.xlsx</w:t>
      </w:r>
      <w:r>
        <w:rPr>
          <w:sz w:val="20"/>
        </w:rPr>
        <w:t xml:space="preserve"> Decisions tab</w:t>
      </w:r>
    </w:p>
    <w:p>
      <w:pPr>
        <w:pStyle w:val="ListNumber"/>
        <w:spacing w:after="40"/>
      </w:pPr>
      <w:r>
        <w:rPr>
          <w:sz w:val="20"/>
        </w:rPr>
        <w:t>Per-row review of every RD at spam-rating ≥30 (~395 RDs)</w:t>
      </w:r>
    </w:p>
    <w:p>
      <w:pPr>
        <w:pStyle w:val="ListNumber"/>
        <w:spacing w:after="40"/>
      </w:pPr>
      <w:r>
        <w:rPr>
          <w:sz w:val="20"/>
        </w:rPr>
        <w:t>Apply per-row decision rule</w:t>
      </w:r>
    </w:p>
    <w:p>
      <w:pPr>
        <w:pStyle w:val="ListNumber"/>
        <w:spacing w:after="40"/>
      </w:pPr>
      <w:r>
        <w:rPr>
          <w:sz w:val="20"/>
        </w:rPr>
        <w:t xml:space="preserve">Build disavow.txt file from DISAVOW rows (format: </w:t>
      </w:r>
      <w:r>
        <w:rPr>
          <w:rFonts w:ascii="Consolas" w:hAnsi="Consolas"/>
          <w:sz w:val="18"/>
        </w:rPr>
        <w:t>domain:example.com</w:t>
      </w:r>
      <w:r>
        <w:rPr>
          <w:sz w:val="20"/>
        </w:rPr>
        <w:t xml:space="preserve"> per line; URL-level disavows only for high-value RDs with mixed legitimate + spam pages)</w:t>
      </w:r>
    </w:p>
    <w:p>
      <w:pPr>
        <w:pStyle w:val="ListNumber"/>
        <w:spacing w:after="40"/>
      </w:pPr>
      <w:r>
        <w:rPr>
          <w:sz w:val="20"/>
        </w:rPr>
        <w:t>Upload via GSC &gt; Disavow Tool</w:t>
      </w:r>
    </w:p>
    <w:p>
      <w:pPr>
        <w:pStyle w:val="ListNumber"/>
        <w:spacing w:after="40"/>
      </w:pPr>
      <w:r>
        <w:rPr>
          <w:sz w:val="20"/>
        </w:rPr>
        <w:t>Log submission date in workbook</w:t>
      </w:r>
    </w:p>
    <w:p>
      <w:pPr>
        <w:pStyle w:val="ListNumber"/>
        <w:spacing w:after="40"/>
      </w:pPr>
      <w:r>
        <w:rPr>
          <w:b/>
          <w:sz w:val="20"/>
        </w:rPr>
        <w:t>M3 re-pull (OFF-Disavow_M3):</w:t>
      </w:r>
      <w:r>
        <w:rPr>
          <w:sz w:val="20"/>
        </w:rPr>
        <w:t xml:space="preserve"> DataForSEO Backlinks scan; populate Re-Pull tab; apply same rule to new RDs; append new DISAVOW rows; re-upload</w:t>
      </w:r>
    </w:p>
    <w:p>
      <w:pPr>
        <w:spacing w:after="80"/>
      </w:pPr>
      <w:r>
        <w:rPr>
          <w:b/>
          <w:sz w:val="20"/>
        </w:rPr>
        <w:t>Acceptance M1:</w:t>
      </w:r>
    </w:p>
    <w:p>
      <w:pPr>
        <w:pStyle w:val="ListBullet"/>
        <w:spacing w:after="40"/>
      </w:pPr>
      <w:r>
        <w:rPr>
          <w:sz w:val="20"/>
        </w:rPr>
        <w:t>Decisions tab fully populated (395 rows reviewed)</w:t>
      </w:r>
    </w:p>
    <w:p>
      <w:pPr>
        <w:pStyle w:val="ListBullet"/>
        <w:spacing w:after="40"/>
      </w:pPr>
      <w:r>
        <w:rPr>
          <w:sz w:val="20"/>
        </w:rPr>
        <w:t>disavow.txt uploaded to GSC</w:t>
      </w:r>
    </w:p>
    <w:p>
      <w:pPr>
        <w:pStyle w:val="ListBullet"/>
        <w:spacing w:after="40"/>
      </w:pPr>
      <w:r>
        <w:rPr>
          <w:sz w:val="20"/>
        </w:rPr>
        <w:t>Submission date logged</w:t>
      </w:r>
    </w:p>
    <w:p>
      <w:pPr>
        <w:pStyle w:val="ListBullet"/>
        <w:spacing w:after="40"/>
      </w:pPr>
      <w:r>
        <w:rPr>
          <w:sz w:val="20"/>
        </w:rPr>
        <w:t xml:space="preserve">Status logged in </w:t>
      </w:r>
      <w:r>
        <w:rPr>
          <w:rFonts w:ascii="Consolas" w:hAnsi="Consolas"/>
          <w:sz w:val="18"/>
        </w:rPr>
        <w:t>Urban_Recovery_Reporting_Master_Template.csv</w:t>
      </w:r>
    </w:p>
    <w:p>
      <w:pPr>
        <w:spacing w:after="80"/>
      </w:pPr>
      <w:r>
        <w:rPr>
          <w:b/>
          <w:sz w:val="20"/>
        </w:rPr>
        <w:t>Acceptance M3:</w:t>
      </w:r>
    </w:p>
    <w:p>
      <w:pPr>
        <w:pStyle w:val="ListBullet"/>
        <w:spacing w:after="40"/>
      </w:pPr>
      <w:r>
        <w:rPr>
          <w:sz w:val="20"/>
        </w:rPr>
        <w:t>Re-Pull tab populated</w:t>
      </w:r>
    </w:p>
    <w:p>
      <w:pPr>
        <w:pStyle w:val="ListBullet"/>
        <w:spacing w:after="40"/>
      </w:pPr>
      <w:r>
        <w:rPr>
          <w:sz w:val="20"/>
        </w:rPr>
        <w:t>Updated disavow.txt uploaded if any new toxic clusters appeared</w:t>
      </w:r>
    </w:p>
    <w:p>
      <w:pPr>
        <w:pStyle w:val="ListBullet"/>
        <w:spacing w:after="40"/>
      </w:pPr>
      <w:r>
        <w:rPr>
          <w:sz w:val="20"/>
        </w:rPr>
        <w:t>Delta report filed in REP-03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2 — YMYL trust citations (OFF-Citations_M1/M2/M3)</w:t>
      </w:r>
    </w:p>
    <w:p>
      <w:pPr>
        <w:spacing w:after="80"/>
      </w:pPr>
      <w:r>
        <w:rPr>
          <w:b/>
          <w:sz w:val="20"/>
        </w:rPr>
        <w:t>Per `Urban_Recovery_OffPage_Stack_Template.csv` Citations tab.</w:t>
      </w:r>
    </w:p>
    <w:p>
      <w:pPr>
        <w:spacing w:after="80"/>
      </w:pPr>
      <w:r>
        <w:rPr>
          <w:b/>
          <w:sz w:val="20"/>
        </w:rPr>
        <w:t>Tier 1 — Critical YMYL (M1):</w:t>
      </w:r>
    </w:p>
    <w:p>
      <w:pPr>
        <w:pStyle w:val="ListNumber"/>
        <w:spacing w:after="40"/>
      </w:pPr>
      <w:r>
        <w:rPr>
          <w:b/>
          <w:sz w:val="20"/>
        </w:rPr>
        <w:t>SAMHSA findtreatment.gov</w:t>
      </w:r>
      <w:r>
        <w:rPr>
          <w:sz w:val="20"/>
        </w:rPr>
        <w:t xml:space="preserve"> — federal locator; verify UR listing + NAP consistency with GBP canonical (646-347-1892); update if needed</w:t>
      </w:r>
    </w:p>
    <w:p>
      <w:pPr>
        <w:pStyle w:val="ListNumber"/>
        <w:spacing w:after="40"/>
      </w:pPr>
      <w:r>
        <w:rPr>
          <w:b/>
          <w:sz w:val="20"/>
        </w:rPr>
        <w:t>Psychology Today provider directory</w:t>
      </w:r>
      <w:r>
        <w:rPr>
          <w:sz w:val="20"/>
        </w:rPr>
        <w:t xml:space="preserve"> — clinical-lead profile + facility listing (gated on Owner Items #4 — clinical lead photo + bio consent)</w:t>
      </w:r>
    </w:p>
    <w:p>
      <w:pPr>
        <w:pStyle w:val="ListNumber"/>
        <w:spacing w:after="40"/>
      </w:pPr>
      <w:r>
        <w:rPr>
          <w:b/>
          <w:sz w:val="20"/>
        </w:rPr>
        <w:t>CARF directory</w:t>
      </w:r>
      <w:r>
        <w:rPr>
          <w:sz w:val="20"/>
        </w:rPr>
        <w:t xml:space="preserve"> OR </w:t>
      </w:r>
      <w:r>
        <w:rPr>
          <w:b/>
          <w:sz w:val="20"/>
        </w:rPr>
        <w:t>Joint Commission Behavioral Health substitute</w:t>
      </w:r>
      <w:r>
        <w:rPr>
          <w:sz w:val="20"/>
        </w:rPr>
        <w:t xml:space="preserve"> (gated on Owner Items #1 — CARF certification verification)</w:t>
      </w:r>
    </w:p>
    <w:p>
      <w:pPr>
        <w:spacing w:after="80"/>
      </w:pPr>
      <w:r>
        <w:rPr>
          <w:b/>
          <w:sz w:val="20"/>
        </w:rPr>
        <w:t>Tier 2 — Critical YMYL Continued (M2):</w:t>
      </w:r>
    </w:p>
    <w:p>
      <w:pPr>
        <w:pStyle w:val="ListNumber"/>
        <w:spacing w:after="40"/>
      </w:pPr>
      <w:r>
        <w:rPr>
          <w:b/>
          <w:sz w:val="20"/>
        </w:rPr>
        <w:t>LegitScript certified directory</w:t>
      </w:r>
      <w:r>
        <w:rPr>
          <w:sz w:val="20"/>
        </w:rPr>
        <w:t xml:space="preserve"> — UR has LegitScript verified per homepage badge per client.json — verify listing accuracy</w:t>
      </w:r>
    </w:p>
    <w:p>
      <w:pPr>
        <w:pStyle w:val="ListNumber"/>
        <w:spacing w:after="40"/>
      </w:pPr>
      <w:r>
        <w:rPr>
          <w:b/>
          <w:sz w:val="20"/>
        </w:rPr>
        <w:t>NAATP member directory</w:t>
      </w:r>
      <w:r>
        <w:rPr>
          <w:sz w:val="20"/>
        </w:rPr>
        <w:t xml:space="preserve"> — UR has NAATP member badge per homepage — verify listing</w:t>
      </w:r>
    </w:p>
    <w:p>
      <w:pPr>
        <w:pStyle w:val="ListNumber"/>
        <w:spacing w:after="40"/>
      </w:pPr>
      <w:r>
        <w:rPr>
          <w:b/>
          <w:sz w:val="20"/>
        </w:rPr>
        <w:t>Aetna provider directory submission</w:t>
      </w:r>
      <w:r>
        <w:rPr>
          <w:sz w:val="20"/>
        </w:rPr>
        <w:t xml:space="preserve"> (Owner Items #2 in-network confirmation)</w:t>
      </w:r>
    </w:p>
    <w:p>
      <w:pPr>
        <w:pStyle w:val="ListNumber"/>
        <w:spacing w:after="40"/>
      </w:pPr>
      <w:r>
        <w:rPr>
          <w:b/>
          <w:sz w:val="20"/>
        </w:rPr>
        <w:t>Cigna provider directory submission</w:t>
      </w:r>
      <w:r>
        <w:rPr>
          <w:sz w:val="20"/>
        </w:rPr>
        <w:t xml:space="preserve"> (Owner Items #2)</w:t>
      </w:r>
    </w:p>
    <w:p>
      <w:pPr>
        <w:pStyle w:val="ListNumber"/>
        <w:spacing w:after="40"/>
      </w:pPr>
      <w:r>
        <w:rPr>
          <w:b/>
          <w:sz w:val="20"/>
        </w:rPr>
        <w:t>BCBS provider directory submission</w:t>
      </w:r>
      <w:r>
        <w:rPr>
          <w:sz w:val="20"/>
        </w:rPr>
        <w:t xml:space="preserve"> (Owner Items #2)</w:t>
      </w:r>
    </w:p>
    <w:p>
      <w:pPr>
        <w:spacing w:after="80"/>
      </w:pPr>
      <w:r>
        <w:rPr>
          <w:b/>
          <w:sz w:val="20"/>
        </w:rPr>
        <w:t>Tier 3 — Vertical + Local (M3):</w:t>
      </w:r>
    </w:p>
    <w:p>
      <w:pPr>
        <w:pStyle w:val="ListNumber"/>
        <w:spacing w:after="40"/>
      </w:pPr>
      <w:r>
        <w:rPr>
          <w:b/>
          <w:sz w:val="20"/>
        </w:rPr>
        <w:t>best-rehabs.com submission</w:t>
      </w:r>
    </w:p>
    <w:p>
      <w:pPr>
        <w:pStyle w:val="ListNumber"/>
        <w:spacing w:after="40"/>
      </w:pPr>
      <w:r>
        <w:rPr>
          <w:b/>
          <w:sz w:val="20"/>
        </w:rPr>
        <w:t>alcoholism.org provider listing</w:t>
      </w:r>
    </w:p>
    <w:p>
      <w:pPr>
        <w:pStyle w:val="ListNumber"/>
        <w:spacing w:after="40"/>
      </w:pPr>
      <w:r>
        <w:rPr>
          <w:b/>
          <w:sz w:val="20"/>
        </w:rPr>
        <w:t>sobasearch.com listing</w:t>
      </w:r>
    </w:p>
    <w:p>
      <w:pPr>
        <w:pStyle w:val="ListNumber"/>
        <w:spacing w:after="40"/>
      </w:pPr>
      <w:r>
        <w:rPr>
          <w:b/>
          <w:sz w:val="20"/>
        </w:rPr>
        <w:t>helpguide.org provider listing</w:t>
      </w:r>
    </w:p>
    <w:p>
      <w:pPr>
        <w:pStyle w:val="ListNumber"/>
        <w:spacing w:after="40"/>
      </w:pPr>
      <w:r>
        <w:rPr>
          <w:b/>
          <w:sz w:val="20"/>
        </w:rPr>
        <w:t>Brooklyn Health Resources local directory submission</w:t>
      </w:r>
    </w:p>
    <w:p>
      <w:pPr>
        <w:spacing w:after="80"/>
      </w:pPr>
      <w:r>
        <w:rPr>
          <w:b/>
          <w:sz w:val="20"/>
        </w:rPr>
        <w:t>Per-row workflow:</w:t>
      </w:r>
    </w:p>
    <w:p>
      <w:pPr>
        <w:pStyle w:val="ListNumber"/>
        <w:spacing w:after="40"/>
      </w:pPr>
      <w:r>
        <w:rPr>
          <w:sz w:val="20"/>
        </w:rPr>
        <w:t>Submit to directory per directory's submission process</w:t>
      </w:r>
    </w:p>
    <w:p>
      <w:pPr>
        <w:pStyle w:val="ListNumber"/>
        <w:spacing w:after="40"/>
      </w:pPr>
      <w:r>
        <w:rPr>
          <w:sz w:val="20"/>
        </w:rPr>
        <w:t>Capture submission ID + submission date</w:t>
      </w:r>
    </w:p>
    <w:p>
      <w:pPr>
        <w:pStyle w:val="ListNumber"/>
        <w:spacing w:after="40"/>
      </w:pPr>
      <w:r>
        <w:rPr>
          <w:sz w:val="20"/>
        </w:rPr>
        <w:t>Follow up at 14-day mark for live-listing verification</w:t>
      </w:r>
    </w:p>
    <w:p>
      <w:pPr>
        <w:pStyle w:val="ListNumber"/>
        <w:spacing w:after="40"/>
      </w:pPr>
      <w:r>
        <w:rPr>
          <w:sz w:val="20"/>
        </w:rPr>
        <w:t xml:space="preserve">Log live-listing URL in </w:t>
      </w:r>
      <w:r>
        <w:rPr>
          <w:rFonts w:ascii="Consolas" w:hAnsi="Consolas"/>
          <w:sz w:val="18"/>
        </w:rPr>
        <w:t>OffPage_Stack_Template.csv</w:t>
      </w:r>
      <w:r>
        <w:rPr>
          <w:sz w:val="20"/>
        </w:rPr>
        <w:t xml:space="preserve"> Citations tab deliverable_url column</w:t>
      </w:r>
    </w:p>
    <w:p>
      <w:pPr>
        <w:pStyle w:val="ListNumber"/>
        <w:spacing w:after="40"/>
      </w:pPr>
      <w:r>
        <w:rPr>
          <w:sz w:val="20"/>
        </w:rPr>
        <w:t>Cross-check NAP consistency against GBP canonical (646-347-1892)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M1: 3 submissions confirmed; submission ID + live-listing date logged</w:t>
      </w:r>
    </w:p>
    <w:p>
      <w:pPr>
        <w:pStyle w:val="ListBullet"/>
        <w:spacing w:after="40"/>
      </w:pPr>
      <w:r>
        <w:rPr>
          <w:sz w:val="20"/>
        </w:rPr>
        <w:t>M2: 5 submissions confirmed (3 gated on Owner Items #1+#2)</w:t>
      </w:r>
    </w:p>
    <w:p>
      <w:pPr>
        <w:pStyle w:val="ListBullet"/>
        <w:spacing w:after="40"/>
      </w:pPr>
      <w:r>
        <w:rPr>
          <w:sz w:val="20"/>
        </w:rPr>
        <w:t>M3: 5 submissions confirmed</w:t>
      </w:r>
    </w:p>
    <w:p>
      <w:pPr>
        <w:pStyle w:val="ListBullet"/>
        <w:spacing w:after="40"/>
      </w:pPr>
      <w:r>
        <w:rPr>
          <w:sz w:val="20"/>
        </w:rPr>
        <w:t>All NAP consistent with GBP canonical 646-347-1892 + 411 Van Brunt St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3 — 6-Strategy off-page stack (M1-M3)</w:t>
      </w:r>
    </w:p>
    <w:p>
      <w:pPr>
        <w:spacing w:after="80"/>
      </w:pPr>
      <w:r>
        <w:rPr>
          <w:b/>
          <w:sz w:val="20"/>
        </w:rPr>
        <w:t>Per `feedback_hqdm_offpage_full_stack_visible.md` — one task per action per month, each its own sheet/tab.</w:t>
      </w:r>
      <w:r>
        <w:rPr>
          <w:sz w:val="20"/>
        </w:rPr>
        <w:t xml:space="preserve"> Per </w:t>
      </w:r>
      <w:r>
        <w:rPr>
          <w:rFonts w:ascii="Consolas" w:hAnsi="Consolas"/>
          <w:sz w:val="18"/>
        </w:rPr>
        <w:t>Urban_Recovery_OffPage_Stack_Template.csv</w:t>
      </w:r>
      <w:r>
        <w:rPr>
          <w:sz w:val="20"/>
        </w:rPr>
        <w:t>:</w:t>
      </w:r>
    </w:p>
    <w:p>
      <w:pPr>
        <w:spacing w:before="160" w:after="80"/>
      </w:pPr>
      <w:r>
        <w:rPr>
          <w:b/>
          <w:color w:val="444444"/>
          <w:sz w:val="24"/>
        </w:rPr>
        <w:t>SEO Neo (entity-anchor)</w:t>
      </w:r>
    </w:p>
    <w:p>
      <w:pPr>
        <w:pStyle w:val="ListBullet"/>
        <w:spacing w:after="40"/>
      </w:pPr>
      <w:r>
        <w:rPr>
          <w:sz w:val="20"/>
        </w:rPr>
        <w:t>M1 (4 articles): Red Hook / Downtown Brooklyn / Sunset Park / Crown Heights — cross-borough gap coords</w:t>
      </w:r>
    </w:p>
    <w:p>
      <w:pPr>
        <w:pStyle w:val="ListBullet"/>
        <w:spacing w:after="40"/>
      </w:pPr>
      <w:r>
        <w:rPr>
          <w:sz w:val="20"/>
        </w:rPr>
        <w:t>M2 (4): Park Slope / Boerum Hill / SP-01-supporting alcohol-detox / Inpatient-framing (Push 4)</w:t>
      </w:r>
    </w:p>
    <w:p>
      <w:pPr>
        <w:pStyle w:val="ListBullet"/>
        <w:spacing w:after="40"/>
      </w:pPr>
      <w:r>
        <w:rPr>
          <w:sz w:val="20"/>
        </w:rPr>
        <w:t>M3 (4): SP-02-supporting opioid-detox / cross-borough hub reinforcement / women-owned-rehab-brooklyn</w:t>
      </w:r>
    </w:p>
    <w:p>
      <w:pPr>
        <w:spacing w:before="160" w:after="80"/>
      </w:pPr>
      <w:r>
        <w:rPr>
          <w:b/>
          <w:color w:val="444444"/>
          <w:sz w:val="24"/>
        </w:rPr>
        <w:t>AI Articles (25/month)</w:t>
      </w:r>
    </w:p>
    <w:p>
      <w:pPr>
        <w:pStyle w:val="ListBullet"/>
        <w:spacing w:after="40"/>
      </w:pPr>
      <w:r>
        <w:rPr>
          <w:sz w:val="20"/>
        </w:rPr>
        <w:t>M1: gap-area topical + Medicaid + LGBTQ+ + Inpatient framing</w:t>
      </w:r>
    </w:p>
    <w:p>
      <w:pPr>
        <w:pStyle w:val="ListBullet"/>
        <w:spacing w:after="40"/>
      </w:pPr>
      <w:r>
        <w:rPr>
          <w:sz w:val="20"/>
        </w:rPr>
        <w:t>M2: alcohol-detox topical + cross-borough reinforcement (Sunset Park / Park Slope / Boerum Hill)</w:t>
      </w:r>
    </w:p>
    <w:p>
      <w:pPr>
        <w:pStyle w:val="ListBullet"/>
        <w:spacing w:after="40"/>
      </w:pPr>
      <w:r>
        <w:rPr>
          <w:sz w:val="20"/>
        </w:rPr>
        <w:t>M3: opioid-MAT topical + new-build neighborhood (Downtown Brooklyn / Crown Heights) + women-owned/LGBTQ+ deepening + 24-hour inpatient framing</w:t>
      </w:r>
    </w:p>
    <w:p>
      <w:pPr>
        <w:spacing w:before="160" w:after="80"/>
      </w:pPr>
      <w:r>
        <w:rPr>
          <w:b/>
          <w:color w:val="444444"/>
          <w:sz w:val="24"/>
        </w:rPr>
        <w:t>Driving Directions (3/month, per `Urban_Recovery_Driving_Direction_Pins.csv`)</w:t>
      </w:r>
    </w:p>
    <w:p>
      <w:pPr>
        <w:pStyle w:val="ListBullet"/>
        <w:spacing w:after="40"/>
      </w:pPr>
      <w:r>
        <w:rPr>
          <w:sz w:val="20"/>
        </w:rPr>
        <w:t>M1: DD-01 Downtown Brooklyn + DD-02 Sunset Park + DD-03 Crown Heights</w:t>
      </w:r>
    </w:p>
    <w:p>
      <w:pPr>
        <w:pStyle w:val="ListBullet"/>
        <w:spacing w:after="40"/>
      </w:pPr>
      <w:r>
        <w:rPr>
          <w:sz w:val="20"/>
        </w:rPr>
        <w:t>M2: DD-04 Park Slope + DD-05 Boerum Hill + DD-06 Williamsburg</w:t>
      </w:r>
    </w:p>
    <w:p>
      <w:pPr>
        <w:pStyle w:val="ListBullet"/>
        <w:spacing w:after="40"/>
      </w:pPr>
      <w:r>
        <w:rPr>
          <w:sz w:val="20"/>
        </w:rPr>
        <w:t>M3: DD-07 Bed-Stuy + DD-08 Brooklyn Heights + DD-09 Prospect Heights</w:t>
      </w:r>
    </w:p>
    <w:p>
      <w:pPr>
        <w:spacing w:before="160" w:after="80"/>
      </w:pPr>
      <w:r>
        <w:rPr>
          <w:b/>
          <w:color w:val="444444"/>
          <w:sz w:val="24"/>
        </w:rPr>
        <w:t>DAS (Domain Authority Stack)</w:t>
      </w:r>
    </w:p>
    <w:p>
      <w:pPr>
        <w:pStyle w:val="ListBullet"/>
        <w:spacing w:after="40"/>
      </w:pPr>
      <w:r>
        <w:rPr>
          <w:sz w:val="20"/>
        </w:rPr>
        <w:t>M1: cross-borough gap coords</w:t>
      </w:r>
    </w:p>
    <w:p>
      <w:pPr>
        <w:pStyle w:val="ListBullet"/>
        <w:spacing w:after="40"/>
      </w:pPr>
      <w:r>
        <w:rPr>
          <w:sz w:val="20"/>
        </w:rPr>
        <w:t>M2: SP-01 + LP-02_M1 anchor URLs</w:t>
      </w:r>
    </w:p>
    <w:p>
      <w:pPr>
        <w:pStyle w:val="ListBullet"/>
        <w:spacing w:after="40"/>
      </w:pPr>
      <w:r>
        <w:rPr>
          <w:sz w:val="20"/>
        </w:rPr>
        <w:t>M3: SP-02 + LP-02_M2/M3 + CON-03 Q-format article URLs</w:t>
      </w:r>
    </w:p>
    <w:p>
      <w:pPr>
        <w:spacing w:before="160" w:after="80"/>
      </w:pPr>
      <w:r>
        <w:rPr>
          <w:b/>
          <w:color w:val="444444"/>
          <w:sz w:val="24"/>
        </w:rPr>
        <w:t>GBP Blast / GBP Sniper / RD100 / NAP Overlay / GMB Pin Support</w:t>
      </w:r>
    </w:p>
    <w:p>
      <w:pPr>
        <w:pStyle w:val="ListBullet"/>
        <w:spacing w:after="40"/>
      </w:pPr>
      <w:r>
        <w:rPr>
          <w:sz w:val="20"/>
        </w:rPr>
        <w:t>Per stack template tab + monthly row</w:t>
      </w:r>
    </w:p>
    <w:p>
      <w:pPr>
        <w:spacing w:after="80"/>
      </w:pPr>
      <w:r>
        <w:rPr>
          <w:b/>
          <w:sz w:val="20"/>
        </w:rPr>
        <w:t>Acceptance per stack tactic:</w:t>
      </w:r>
    </w:p>
    <w:p>
      <w:pPr>
        <w:pStyle w:val="ListBullet"/>
        <w:spacing w:after="40"/>
      </w:pPr>
      <w:r>
        <w:rPr>
          <w:sz w:val="20"/>
        </w:rPr>
        <w:t xml:space="preserve">Per-month deliverable URLs logged in </w:t>
      </w:r>
      <w:r>
        <w:rPr>
          <w:rFonts w:ascii="Consolas" w:hAnsi="Consolas"/>
          <w:sz w:val="18"/>
        </w:rPr>
        <w:t>OffPage_Stack_Template.csv</w:t>
      </w:r>
    </w:p>
    <w:p>
      <w:pPr>
        <w:pStyle w:val="ListBullet"/>
        <w:spacing w:after="40"/>
      </w:pPr>
      <w:r>
        <w:rPr>
          <w:sz w:val="20"/>
        </w:rPr>
        <w:t xml:space="preserve">Cross-referenced in </w:t>
      </w:r>
      <w:r>
        <w:rPr>
          <w:rFonts w:ascii="Consolas" w:hAnsi="Consolas"/>
          <w:sz w:val="18"/>
        </w:rPr>
        <w:t>Urban_Recovery_Q2_2026_Tasks.csv</w:t>
      </w:r>
      <w:r>
        <w:rPr>
          <w:sz w:val="20"/>
        </w:rPr>
        <w:t xml:space="preserve"> OFF-* rows</w:t>
      </w:r>
    </w:p>
    <w:p>
      <w:pPr>
        <w:pStyle w:val="ListBullet"/>
        <w:spacing w:after="40"/>
      </w:pPr>
      <w:r>
        <w:rPr>
          <w:sz w:val="20"/>
        </w:rPr>
        <w:t>Submission logs filed monthly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4 — Q-format LLM-targeted articles (CON-03, M3)</w:t>
      </w:r>
    </w:p>
    <w:p>
      <w:pPr>
        <w:spacing w:after="80"/>
      </w:pPr>
      <w:r>
        <w:rPr>
          <w:b/>
          <w:sz w:val="20"/>
        </w:rPr>
        <w:t>Per `Urban_Recovery_Pages_Action_List.csv` rows PA-24 / PA-25 / PA-26.</w:t>
      </w:r>
    </w:p>
    <w:p>
      <w:pPr>
        <w:spacing w:after="80"/>
      </w:pPr>
      <w:r>
        <w:rPr>
          <w:b/>
          <w:sz w:val="20"/>
        </w:rPr>
        <w:t>Why Q-format:</w:t>
      </w:r>
      <w:r>
        <w:rPr>
          <w:sz w:val="20"/>
        </w:rPr>
        <w:t xml:space="preserve"> UR's commercial differentiators (Medicaid acceptance / LGBTQ+-affirming / women-owned + transgender-safespace) are real but currently sub-discoverable. Q-format content surfaces well in PAA + AI Overview + ChatGPT/Claude/Perplexity citations. Each article serves dual purpose:</w:t>
      </w:r>
    </w:p>
    <w:p>
      <w:pPr>
        <w:pStyle w:val="ListNumber"/>
        <w:spacing w:after="40"/>
      </w:pPr>
      <w:r>
        <w:rPr>
          <w:sz w:val="20"/>
        </w:rPr>
        <w:t>Captures the Q-format query directly (low-volume but high-intent)</w:t>
      </w:r>
    </w:p>
    <w:p>
      <w:pPr>
        <w:pStyle w:val="ListNumber"/>
        <w:spacing w:after="40"/>
      </w:pPr>
      <w:r>
        <w:rPr>
          <w:sz w:val="20"/>
        </w:rPr>
        <w:t>Internal-link gravity into SP-01 + SP-02 + /admission-overview + Red Hook anchor</w:t>
      </w:r>
    </w:p>
    <w:p>
      <w:pPr>
        <w:spacing w:after="80"/>
      </w:pPr>
      <w:r>
        <w:rPr>
          <w:b/>
          <w:sz w:val="20"/>
        </w:rPr>
        <w:t>Article 1 (PA-24): `/blog/medicaid-detox-brooklyn`</w:t>
      </w:r>
    </w:p>
    <w:p>
      <w:pPr>
        <w:pStyle w:val="ListBullet"/>
        <w:spacing w:after="40"/>
      </w:pPr>
      <w:r>
        <w:rPr>
          <w:b/>
          <w:sz w:val="20"/>
        </w:rPr>
        <w:t>Q:</w:t>
      </w:r>
      <w:r>
        <w:rPr>
          <w:sz w:val="20"/>
        </w:rPr>
        <w:t xml:space="preserve"> "Does Urban Recovery accept Medicaid for detox in Brooklyn?"</w:t>
      </w:r>
    </w:p>
    <w:p>
      <w:pPr>
        <w:pStyle w:val="ListBullet"/>
        <w:spacing w:after="40"/>
      </w:pPr>
      <w:r>
        <w:rPr>
          <w:b/>
          <w:sz w:val="20"/>
        </w:rPr>
        <w:t>Volume:</w:t>
      </w:r>
      <w:r>
        <w:rPr>
          <w:sz w:val="20"/>
        </w:rPr>
        <w:t xml:space="preserve"> ~480/month (combined </w:t>
      </w:r>
      <w:r>
        <w:rPr>
          <w:rFonts w:ascii="Consolas" w:hAnsi="Consolas"/>
          <w:sz w:val="18"/>
        </w:rPr>
        <w:t>medicaid drug detox brooklyn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medicaid alcohol detox brooklyn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medicaid rehab brooklyn</w:t>
      </w:r>
      <w:r>
        <w:rPr>
          <w:sz w:val="20"/>
        </w:rPr>
        <w:t>)</w:t>
      </w:r>
    </w:p>
    <w:p>
      <w:pPr>
        <w:pStyle w:val="ListBullet"/>
        <w:spacing w:after="40"/>
      </w:pPr>
      <w:r>
        <w:rPr>
          <w:b/>
          <w:sz w:val="20"/>
        </w:rPr>
        <w:t>Sections:</w:t>
      </w:r>
      <w:r>
        <w:rPr>
          <w:sz w:val="20"/>
        </w:rPr>
        <w:t xml:space="preserve"> "Yes — here's how it works" / "What Medicaid covers for detox in NY" / "Which Medicaid plans we accept" / "Same-day admission with Medicaid" / FAQ</w:t>
      </w:r>
    </w:p>
    <w:p>
      <w:pPr>
        <w:pStyle w:val="ListBullet"/>
        <w:spacing w:after="40"/>
      </w:pPr>
      <w:r>
        <w:rPr>
          <w:b/>
          <w:sz w:val="20"/>
        </w:rPr>
        <w:t>Schema:</w:t>
      </w:r>
      <w:r>
        <w:rPr>
          <w:sz w:val="20"/>
        </w:rPr>
        <w:t xml:space="preserve"> FAQPage</w:t>
      </w:r>
    </w:p>
    <w:p>
      <w:pPr>
        <w:pStyle w:val="ListBullet"/>
        <w:spacing w:after="40"/>
      </w:pPr>
      <w:r>
        <w:rPr>
          <w:b/>
          <w:sz w:val="20"/>
        </w:rPr>
        <w:t>Internal links:</w:t>
      </w:r>
      <w:r>
        <w:rPr>
          <w:sz w:val="20"/>
        </w:rPr>
        <w:t xml:space="preserve"> /services/alcohol-detoxification-service + /services/opioid-detoxification-services + /admission-overview + /locations/red-hook-ny (per IL-47/48)</w:t>
      </w:r>
    </w:p>
    <w:p>
      <w:pPr>
        <w:spacing w:after="80"/>
      </w:pPr>
      <w:r>
        <w:rPr>
          <w:b/>
          <w:sz w:val="20"/>
        </w:rPr>
        <w:t>Article 2 (PA-25): `/blog/lgbtq-affirming-rehab-red-hook`</w:t>
      </w:r>
    </w:p>
    <w:p>
      <w:pPr>
        <w:pStyle w:val="ListBullet"/>
        <w:spacing w:after="40"/>
      </w:pPr>
      <w:r>
        <w:rPr>
          <w:b/>
          <w:sz w:val="20"/>
        </w:rPr>
        <w:t>Q:</w:t>
      </w:r>
      <w:r>
        <w:rPr>
          <w:sz w:val="20"/>
        </w:rPr>
        <w:t xml:space="preserve"> "Is there an LGBTQ+-affirming rehab in Red Hook, Brooklyn?"</w:t>
      </w:r>
    </w:p>
    <w:p>
      <w:pPr>
        <w:pStyle w:val="ListBullet"/>
        <w:spacing w:after="40"/>
      </w:pPr>
      <w:r>
        <w:rPr>
          <w:b/>
          <w:sz w:val="20"/>
        </w:rPr>
        <w:t>Volume:</w:t>
      </w:r>
      <w:r>
        <w:rPr>
          <w:sz w:val="20"/>
        </w:rPr>
        <w:t xml:space="preserve"> ~240/month (combined </w:t>
      </w:r>
      <w:r>
        <w:rPr>
          <w:rFonts w:ascii="Consolas" w:hAnsi="Consolas"/>
          <w:sz w:val="18"/>
        </w:rPr>
        <w:t>lgbtq rehab brooklyn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transgender rehab brooklyn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queer affirming rehab nyc</w:t>
      </w:r>
      <w:r>
        <w:rPr>
          <w:sz w:val="20"/>
        </w:rPr>
        <w:t>)</w:t>
      </w:r>
    </w:p>
    <w:p>
      <w:pPr>
        <w:pStyle w:val="ListBullet"/>
        <w:spacing w:after="40"/>
      </w:pPr>
      <w:r>
        <w:rPr>
          <w:b/>
          <w:sz w:val="20"/>
        </w:rPr>
        <w:t>Sections:</w:t>
      </w:r>
      <w:r>
        <w:rPr>
          <w:sz w:val="20"/>
        </w:rPr>
        <w:t xml:space="preserve"> clinical approach to LGBTQ+ patients / transgender-safespace policy / staff training / why it matters clinically</w:t>
      </w:r>
    </w:p>
    <w:p>
      <w:pPr>
        <w:pStyle w:val="ListBullet"/>
        <w:spacing w:after="40"/>
      </w:pPr>
      <w:r>
        <w:rPr>
          <w:b/>
          <w:sz w:val="20"/>
        </w:rPr>
        <w:t>Schema:</w:t>
      </w:r>
      <w:r>
        <w:rPr>
          <w:sz w:val="20"/>
        </w:rPr>
        <w:t xml:space="preserve"> FAQPage</w:t>
      </w:r>
    </w:p>
    <w:p>
      <w:pPr>
        <w:pStyle w:val="ListBullet"/>
        <w:spacing w:after="40"/>
      </w:pPr>
      <w:r>
        <w:rPr>
          <w:b/>
          <w:sz w:val="20"/>
        </w:rPr>
        <w:t>Internal links:</w:t>
      </w:r>
      <w:r>
        <w:rPr>
          <w:sz w:val="20"/>
        </w:rPr>
        <w:t xml:space="preserve"> /services/* + /about-us + /admission-overview (per IL-49/50)</w:t>
      </w:r>
    </w:p>
    <w:p>
      <w:pPr>
        <w:spacing w:after="80"/>
      </w:pPr>
      <w:r>
        <w:rPr>
          <w:b/>
          <w:sz w:val="20"/>
        </w:rPr>
        <w:t>Article 3 (PA-26): `/blog/women-owned-rehab-brooklyn`</w:t>
      </w:r>
    </w:p>
    <w:p>
      <w:pPr>
        <w:pStyle w:val="ListBullet"/>
        <w:spacing w:after="40"/>
      </w:pPr>
      <w:r>
        <w:rPr>
          <w:b/>
          <w:sz w:val="20"/>
        </w:rPr>
        <w:t>Q:</w:t>
      </w:r>
      <w:r>
        <w:rPr>
          <w:sz w:val="20"/>
        </w:rPr>
        <w:t xml:space="preserve"> "What women-owned addiction treatment centers are in Brooklyn?"</w:t>
      </w:r>
    </w:p>
    <w:p>
      <w:pPr>
        <w:pStyle w:val="ListBullet"/>
        <w:spacing w:after="40"/>
      </w:pPr>
      <w:r>
        <w:rPr>
          <w:b/>
          <w:sz w:val="20"/>
        </w:rPr>
        <w:t>Volume:</w:t>
      </w:r>
      <w:r>
        <w:rPr>
          <w:sz w:val="20"/>
        </w:rPr>
        <w:t xml:space="preserve"> ~190/month</w:t>
      </w:r>
    </w:p>
    <w:p>
      <w:pPr>
        <w:pStyle w:val="ListBullet"/>
        <w:spacing w:after="40"/>
      </w:pPr>
      <w:r>
        <w:rPr>
          <w:b/>
          <w:sz w:val="20"/>
        </w:rPr>
        <w:t>Sections:</w:t>
      </w:r>
      <w:r>
        <w:rPr>
          <w:sz w:val="20"/>
        </w:rPr>
        <w:t xml:space="preserve"> what women-owned means in addiction treatment / Urban Recovery's clinical lead + ownership / how women-owned shapes the clinical model</w:t>
      </w:r>
    </w:p>
    <w:p>
      <w:pPr>
        <w:pStyle w:val="ListBullet"/>
        <w:spacing w:after="40"/>
      </w:pPr>
      <w:r>
        <w:rPr>
          <w:b/>
          <w:sz w:val="20"/>
        </w:rPr>
        <w:t>Schema:</w:t>
      </w:r>
      <w:r>
        <w:rPr>
          <w:sz w:val="20"/>
        </w:rPr>
        <w:t xml:space="preserve"> FAQPage</w:t>
      </w:r>
    </w:p>
    <w:p>
      <w:pPr>
        <w:pStyle w:val="ListBullet"/>
        <w:spacing w:after="40"/>
      </w:pPr>
      <w:r>
        <w:rPr>
          <w:b/>
          <w:sz w:val="20"/>
        </w:rPr>
        <w:t>Internal links:</w:t>
      </w:r>
      <w:r>
        <w:rPr>
          <w:sz w:val="20"/>
        </w:rPr>
        <w:t xml:space="preserve"> /about-us + /services/* + /admission-overview (per IL-51/52)</w:t>
      </w:r>
    </w:p>
    <w:p>
      <w:pPr>
        <w:spacing w:after="80"/>
      </w:pPr>
      <w:r>
        <w:rPr>
          <w:b/>
          <w:sz w:val="20"/>
        </w:rPr>
        <w:t>Per-article structure:</w:t>
      </w:r>
    </w:p>
    <w:p>
      <w:pPr>
        <w:pStyle w:val="ListBullet"/>
        <w:spacing w:after="40"/>
      </w:pPr>
      <w:r>
        <w:rPr>
          <w:sz w:val="20"/>
        </w:rPr>
        <w:t>1,000-1,200 words</w:t>
      </w:r>
    </w:p>
    <w:p>
      <w:pPr>
        <w:pStyle w:val="ListBullet"/>
        <w:spacing w:after="40"/>
      </w:pPr>
      <w:r>
        <w:rPr>
          <w:sz w:val="20"/>
        </w:rPr>
        <w:t>H1 = exact Q-format question</w:t>
      </w:r>
    </w:p>
    <w:p>
      <w:pPr>
        <w:pStyle w:val="ListBullet"/>
        <w:spacing w:after="40"/>
      </w:pPr>
      <w:r>
        <w:rPr>
          <w:sz w:val="20"/>
        </w:rPr>
        <w:t>Phone (646-347-1892) above fold</w:t>
      </w:r>
    </w:p>
    <w:p>
      <w:pPr>
        <w:pStyle w:val="ListBullet"/>
        <w:spacing w:after="40"/>
      </w:pPr>
      <w:r>
        <w:rPr>
          <w:sz w:val="20"/>
        </w:rPr>
        <w:t>4-6 internal links per article</w:t>
      </w:r>
    </w:p>
    <w:p>
      <w:pPr>
        <w:pStyle w:val="ListBullet"/>
        <w:spacing w:after="40"/>
      </w:pPr>
      <w:r>
        <w:rPr>
          <w:sz w:val="20"/>
        </w:rPr>
        <w:t>Optimized for AI Overview answer-engine extraction (paragraph-level answers, schema-validated)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3 articles live by end of M3</w:t>
      </w:r>
    </w:p>
    <w:p>
      <w:pPr>
        <w:pStyle w:val="ListBullet"/>
        <w:spacing w:after="40"/>
      </w:pPr>
      <w:r>
        <w:rPr>
          <w:sz w:val="20"/>
        </w:rPr>
        <w:t>FAQ schema validates per article</w:t>
      </w:r>
    </w:p>
    <w:p>
      <w:pPr>
        <w:pStyle w:val="ListBullet"/>
        <w:spacing w:after="40"/>
      </w:pPr>
      <w:r>
        <w:rPr>
          <w:sz w:val="20"/>
        </w:rPr>
        <w:t>Request Indexing submitted per URL</w:t>
      </w:r>
    </w:p>
    <w:p>
      <w:pPr>
        <w:pStyle w:val="ListBullet"/>
        <w:spacing w:after="40"/>
      </w:pPr>
      <w:r>
        <w:rPr>
          <w:sz w:val="20"/>
        </w:rPr>
        <w:t>LLM citation baseline measured M3 (5 surfaces × 4 differentiator queries per LLM-Audit task)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5 — PR pitch (OFF-PR_M2)</w:t>
      </w:r>
    </w:p>
    <w:p>
      <w:pPr>
        <w:spacing w:after="80"/>
      </w:pPr>
      <w:r>
        <w:rPr>
          <w:b/>
          <w:sz w:val="20"/>
        </w:rPr>
        <w:t>Angle:</w:t>
      </w:r>
      <w:r>
        <w:rPr>
          <w:sz w:val="20"/>
        </w:rPr>
        <w:t xml:space="preserve"> LGBTQ+-affirming inpatient detox in Red Hook Brooklyn — clinical-lead voice</w:t>
      </w:r>
    </w:p>
    <w:p>
      <w:pPr>
        <w:spacing w:after="80"/>
      </w:pPr>
      <w:r>
        <w:rPr>
          <w:b/>
          <w:sz w:val="20"/>
        </w:rPr>
        <w:t>Target:</w:t>
      </w:r>
      <w:r>
        <w:rPr>
          <w:sz w:val="20"/>
        </w:rPr>
        <w:t xml:space="preserve"> behavioralhealthnews.org + 1 NYC trade outlet</w:t>
      </w:r>
    </w:p>
    <w:p>
      <w:pPr>
        <w:spacing w:after="80"/>
      </w:pPr>
      <w:r>
        <w:rPr>
          <w:b/>
          <w:sz w:val="20"/>
        </w:rPr>
        <w:t>Lead time:</w:t>
      </w:r>
      <w:r>
        <w:rPr>
          <w:sz w:val="20"/>
        </w:rPr>
        <w:t xml:space="preserve"> 4-6 weeks (start M2, lands M3 if accepted)</w:t>
      </w:r>
    </w:p>
    <w:p>
      <w:pPr>
        <w:spacing w:after="80"/>
      </w:pPr>
      <w:r>
        <w:rPr>
          <w:b/>
          <w:sz w:val="20"/>
        </w:rPr>
        <w:t>Gated on:</w:t>
      </w:r>
      <w:r>
        <w:rPr>
          <w:sz w:val="20"/>
        </w:rPr>
        <w:t xml:space="preserve"> Owner Items #4 — clinical lead photo + bio + quotable consent</w:t>
      </w:r>
    </w:p>
    <w:p>
      <w:pPr>
        <w:spacing w:after="80"/>
      </w:pPr>
      <w:r>
        <w:rPr>
          <w:b/>
          <w:sz w:val="20"/>
        </w:rPr>
        <w:t>Pitch elements:</w:t>
      </w:r>
    </w:p>
    <w:p>
      <w:pPr>
        <w:pStyle w:val="ListBullet"/>
        <w:spacing w:after="40"/>
      </w:pPr>
      <w:r>
        <w:rPr>
          <w:sz w:val="20"/>
        </w:rPr>
        <w:t xml:space="preserve">UR's </w:t>
      </w:r>
      <w:r>
        <w:rPr>
          <w:rFonts w:ascii="Consolas" w:hAnsi="Consolas"/>
          <w:sz w:val="18"/>
        </w:rPr>
        <w:t>is_owned_by_women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welcomes_lgbtq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is_transgender_safespace</w:t>
      </w:r>
      <w:r>
        <w:rPr>
          <w:sz w:val="20"/>
        </w:rPr>
        <w:t xml:space="preserve"> GBP attributes as commercial differentiators in NYC recovery market</w:t>
      </w:r>
    </w:p>
    <w:p>
      <w:pPr>
        <w:pStyle w:val="ListBullet"/>
        <w:spacing w:after="40"/>
      </w:pPr>
      <w:r>
        <w:rPr>
          <w:sz w:val="20"/>
        </w:rPr>
        <w:t>Clinical-lead quote on integrating LGBTQ+-affirming care into medical detox protocol</w:t>
      </w:r>
    </w:p>
    <w:p>
      <w:pPr>
        <w:pStyle w:val="ListBullet"/>
        <w:spacing w:after="40"/>
      </w:pPr>
      <w:r>
        <w:rPr>
          <w:sz w:val="20"/>
        </w:rPr>
        <w:t>Tie to seasonal coverage if available (Pride Month June / Mental Health Awareness Month May)</w:t>
      </w:r>
    </w:p>
    <w:p>
      <w:pPr>
        <w:pStyle w:val="ListBullet"/>
        <w:spacing w:after="40"/>
      </w:pPr>
      <w:r>
        <w:rPr>
          <w:sz w:val="20"/>
        </w:rPr>
        <w:t>Red Hook neighborhood context (small-borough access + intake speed)</w:t>
      </w:r>
    </w:p>
    <w:p>
      <w:pPr>
        <w:spacing w:after="80"/>
      </w:pPr>
      <w:r>
        <w:rPr>
          <w:b/>
          <w:sz w:val="20"/>
        </w:rPr>
        <w:t>Workflow:</w:t>
      </w:r>
    </w:p>
    <w:p>
      <w:pPr>
        <w:pStyle w:val="ListNumber"/>
        <w:spacing w:after="40"/>
      </w:pPr>
      <w:r>
        <w:rPr>
          <w:sz w:val="20"/>
        </w:rPr>
        <w:t xml:space="preserve">Draft pitch per </w:t>
      </w:r>
      <w:r>
        <w:rPr>
          <w:rFonts w:ascii="Consolas" w:hAnsi="Consolas"/>
          <w:sz w:val="18"/>
        </w:rPr>
        <w:t>Urban_Recovery_OffPage_Stack_Template.csv</w:t>
      </w:r>
      <w:r>
        <w:rPr>
          <w:sz w:val="20"/>
        </w:rPr>
        <w:t xml:space="preserve"> PR tab M2 row</w:t>
      </w:r>
    </w:p>
    <w:p>
      <w:pPr>
        <w:pStyle w:val="ListNumber"/>
        <w:spacing w:after="40"/>
      </w:pPr>
      <w:r>
        <w:rPr>
          <w:sz w:val="20"/>
        </w:rPr>
        <w:t>Send to behavioralhealthnews.org editor (with HQDM-side contact)</w:t>
      </w:r>
    </w:p>
    <w:p>
      <w:pPr>
        <w:pStyle w:val="ListNumber"/>
        <w:spacing w:after="40"/>
      </w:pPr>
      <w:r>
        <w:rPr>
          <w:sz w:val="20"/>
        </w:rPr>
        <w:t>Send to 1 NYC trade outlet</w:t>
      </w:r>
    </w:p>
    <w:p>
      <w:pPr>
        <w:pStyle w:val="ListNumber"/>
        <w:spacing w:after="40"/>
      </w:pPr>
      <w:r>
        <w:rPr>
          <w:sz w:val="20"/>
        </w:rPr>
        <w:t>Log editor reply within 14d</w:t>
      </w:r>
    </w:p>
    <w:p>
      <w:pPr>
        <w:pStyle w:val="ListNumber"/>
        <w:spacing w:after="40"/>
      </w:pPr>
      <w:r>
        <w:rPr>
          <w:sz w:val="20"/>
        </w:rPr>
        <w:t>If accepted, draft in flight by M3 W2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Pitch sent + editor reply logged M2</w:t>
      </w:r>
    </w:p>
    <w:p>
      <w:pPr>
        <w:pStyle w:val="ListBullet"/>
        <w:spacing w:after="40"/>
      </w:pPr>
      <w:r>
        <w:rPr>
          <w:sz w:val="20"/>
        </w:rPr>
        <w:t>If accepted, article live by end of Q2 or M3 W4 stretch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6 — LLM citation share baseline audit (LLM-Audit, M1)</w:t>
      </w:r>
    </w:p>
    <w:p>
      <w:pPr>
        <w:spacing w:after="80"/>
      </w:pPr>
      <w:r>
        <w:rPr>
          <w:b/>
          <w:sz w:val="20"/>
        </w:rPr>
        <w:t>Why:</w:t>
      </w:r>
      <w:r>
        <w:rPr>
          <w:sz w:val="20"/>
        </w:rPr>
        <w:t xml:space="preserve"> UR's GBP attributes + Maps grid hold imply UR should be a default LLM citation on women-owned / LGBTQ+ / transgender-safespace / Medicaid-detox-Brooklyn queries. Baseline lets us measure citation lift from Pushes 2-5.</w:t>
      </w:r>
    </w:p>
    <w:p>
      <w:pPr>
        <w:spacing w:after="80"/>
      </w:pPr>
      <w:r>
        <w:rPr>
          <w:b/>
          <w:sz w:val="20"/>
        </w:rPr>
        <w:t>Query set (4 differentiator queries):</w:t>
      </w:r>
    </w:p>
    <w:p>
      <w:pPr>
        <w:pStyle w:val="ListNumber"/>
        <w:spacing w:after="40"/>
      </w:pPr>
      <w:r>
        <w:rPr>
          <w:sz w:val="20"/>
        </w:rPr>
        <w:t>"Women-owned addiction treatment center in Brooklyn"</w:t>
      </w:r>
    </w:p>
    <w:p>
      <w:pPr>
        <w:pStyle w:val="ListNumber"/>
        <w:spacing w:after="40"/>
      </w:pPr>
      <w:r>
        <w:rPr>
          <w:sz w:val="20"/>
        </w:rPr>
        <w:t>"LGBTQ+-affirming rehab in Brooklyn"</w:t>
      </w:r>
    </w:p>
    <w:p>
      <w:pPr>
        <w:pStyle w:val="ListNumber"/>
        <w:spacing w:after="40"/>
      </w:pPr>
      <w:r>
        <w:rPr>
          <w:sz w:val="20"/>
        </w:rPr>
        <w:t>"Medicaid drug detox in Brooklyn"</w:t>
      </w:r>
    </w:p>
    <w:p>
      <w:pPr>
        <w:pStyle w:val="ListNumber"/>
        <w:spacing w:after="40"/>
      </w:pPr>
      <w:r>
        <w:rPr>
          <w:sz w:val="20"/>
        </w:rPr>
        <w:t>"Inpatient drug rehab in Brooklyn" (counters SNF category drift — see Push 4)</w:t>
      </w:r>
    </w:p>
    <w:p>
      <w:pPr>
        <w:spacing w:after="80"/>
      </w:pPr>
      <w:r>
        <w:rPr>
          <w:b/>
          <w:sz w:val="20"/>
        </w:rPr>
        <w:t>5 surfaces to test:</w:t>
      </w:r>
    </w:p>
    <w:p>
      <w:pPr>
        <w:pStyle w:val="ListNumber"/>
        <w:spacing w:after="40"/>
      </w:pPr>
      <w:r>
        <w:rPr>
          <w:sz w:val="20"/>
        </w:rPr>
        <w:t>Google AI Overview (signed-in + signed-out)</w:t>
      </w:r>
    </w:p>
    <w:p>
      <w:pPr>
        <w:pStyle w:val="ListNumber"/>
        <w:spacing w:after="40"/>
      </w:pPr>
      <w:r>
        <w:rPr>
          <w:sz w:val="20"/>
        </w:rPr>
        <w:t>ChatGPT-4 (search-enabled)</w:t>
      </w:r>
    </w:p>
    <w:p>
      <w:pPr>
        <w:pStyle w:val="ListNumber"/>
        <w:spacing w:after="40"/>
      </w:pPr>
      <w:r>
        <w:rPr>
          <w:sz w:val="20"/>
        </w:rPr>
        <w:t>Perplexity</w:t>
      </w:r>
    </w:p>
    <w:p>
      <w:pPr>
        <w:pStyle w:val="ListNumber"/>
        <w:spacing w:after="40"/>
      </w:pPr>
      <w:r>
        <w:rPr>
          <w:sz w:val="20"/>
        </w:rPr>
        <w:t>Claude (web-search-enabled)</w:t>
      </w:r>
    </w:p>
    <w:p>
      <w:pPr>
        <w:pStyle w:val="ListNumber"/>
        <w:spacing w:after="40"/>
      </w:pPr>
      <w:r>
        <w:rPr>
          <w:sz w:val="20"/>
        </w:rPr>
        <w:t>Gemini</w:t>
      </w:r>
    </w:p>
    <w:p>
      <w:pPr>
        <w:spacing w:after="80"/>
      </w:pPr>
      <w:r>
        <w:rPr>
          <w:b/>
          <w:sz w:val="20"/>
        </w:rPr>
        <w:t>Output matrix per query × surface:</w:t>
      </w:r>
    </w:p>
    <w:p>
      <w:pPr>
        <w:pStyle w:val="ListBullet"/>
        <w:spacing w:after="40"/>
      </w:pPr>
      <w:r>
        <w:rPr>
          <w:sz w:val="20"/>
        </w:rPr>
        <w:t>UR cited? Y/N</w:t>
      </w:r>
    </w:p>
    <w:p>
      <w:pPr>
        <w:pStyle w:val="ListBullet"/>
        <w:spacing w:after="40"/>
      </w:pPr>
      <w:r>
        <w:rPr>
          <w:sz w:val="20"/>
        </w:rPr>
        <w:t>If yes — what part (homepage / service page / blog / GBP / off-site article)?</w:t>
      </w:r>
    </w:p>
    <w:p>
      <w:pPr>
        <w:pStyle w:val="ListBullet"/>
        <w:spacing w:after="40"/>
      </w:pPr>
      <w:r>
        <w:rPr>
          <w:sz w:val="20"/>
        </w:rPr>
        <w:t>If no — which competitors cited?</w:t>
      </w:r>
    </w:p>
    <w:p>
      <w:pPr>
        <w:pStyle w:val="ListBullet"/>
        <w:spacing w:after="40"/>
      </w:pPr>
      <w:r>
        <w:rPr>
          <w:sz w:val="20"/>
        </w:rPr>
        <w:t>Citation quality — primary recommendation vs list-item</w:t>
      </w:r>
    </w:p>
    <w:p>
      <w:pPr>
        <w:spacing w:after="80"/>
      </w:pPr>
      <w:r>
        <w:rPr>
          <w:b/>
          <w:sz w:val="20"/>
        </w:rPr>
        <w:t>Deliverable:</w:t>
      </w:r>
      <w:r>
        <w:rPr>
          <w:sz w:val="20"/>
        </w:rPr>
        <w:t xml:space="preserve"> Citation baseline doc + 5 actionable entity-signal recommendations queued for Q3 if outside Q2 scope.</w:t>
      </w:r>
    </w:p>
    <w:p>
      <w:pPr>
        <w:spacing w:after="80"/>
      </w:pPr>
      <w:r>
        <w:rPr>
          <w:b/>
          <w:sz w:val="20"/>
        </w:rPr>
        <w:t>Acceptance:</w:t>
      </w:r>
      <w:r>
        <w:rPr>
          <w:sz w:val="20"/>
        </w:rPr>
        <w:t xml:space="preserve"> Doc delivered by end of M1. Recommendations queued in REP-01.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Aggregate acceptance criteria</w:t>
      </w:r>
    </w:p>
    <w:p>
      <w:pPr>
        <w:pStyle w:val="ListBullet"/>
        <w:spacing w:after="40"/>
      </w:pPr>
      <w:r>
        <w:rPr>
          <w:sz w:val="20"/>
        </w:rPr>
        <w:t>Disavow.txt uploaded to GSC M1; re-pull + re-upload M3</w:t>
      </w:r>
    </w:p>
    <w:p>
      <w:pPr>
        <w:pStyle w:val="ListBullet"/>
        <w:spacing w:after="40"/>
      </w:pPr>
      <w:r>
        <w:rPr>
          <w:sz w:val="20"/>
        </w:rPr>
        <w:t>13 YMYL citations submitted across Q2 (3 M1 + 5 M2 + 5 M3)</w:t>
      </w:r>
    </w:p>
    <w:p>
      <w:pPr>
        <w:pStyle w:val="ListBullet"/>
        <w:spacing w:after="40"/>
      </w:pPr>
      <w:r>
        <w:rPr>
          <w:sz w:val="20"/>
        </w:rPr>
        <w:t>6-strategy stack monthly execution per OffPage_Stack_Template (SEO Neo 4/mo + AI Articles 25/mo + Driving Directions 3/mo + DAS + GBP Blast + GBP Sniper + RD100 + NAP Overlay + GMB Pin)</w:t>
      </w:r>
    </w:p>
    <w:p>
      <w:pPr>
        <w:pStyle w:val="ListBullet"/>
        <w:spacing w:after="40"/>
      </w:pPr>
      <w:r>
        <w:rPr>
          <w:sz w:val="20"/>
        </w:rPr>
        <w:t>3 Q-format LLM-targeted articles live M3</w:t>
      </w:r>
    </w:p>
    <w:p>
      <w:pPr>
        <w:pStyle w:val="ListBullet"/>
        <w:spacing w:after="40"/>
      </w:pPr>
      <w:r>
        <w:rPr>
          <w:sz w:val="20"/>
        </w:rPr>
        <w:t>PR pitch sent + reply logged M2</w:t>
      </w:r>
    </w:p>
    <w:p>
      <w:pPr>
        <w:pStyle w:val="ListBullet"/>
        <w:spacing w:after="40"/>
      </w:pPr>
      <w:r>
        <w:rPr>
          <w:sz w:val="20"/>
        </w:rPr>
        <w:t>LLM citation baseline audit doc delivered M1; M3 lift measured in REP-03</w:t>
      </w:r>
    </w:p>
    <w:p>
      <w:pPr>
        <w:spacing w:before="240" w:after="80"/>
      </w:pPr>
      <w:r>
        <w:rPr>
          <w:b/>
          <w:color w:val="0B1726"/>
          <w:sz w:val="28"/>
        </w:rPr>
        <w:t>Owner asks (Push 5)</w:t>
      </w:r>
    </w:p>
    <w:p>
      <w:pPr>
        <w:pStyle w:val="ListNumber"/>
        <w:spacing w:after="40"/>
      </w:pPr>
      <w:r>
        <w:rPr>
          <w:b/>
          <w:sz w:val="20"/>
        </w:rPr>
        <w:t>CARF certification status</w:t>
      </w:r>
      <w:r>
        <w:rPr>
          <w:sz w:val="20"/>
        </w:rPr>
        <w:t xml:space="preserve"> — gates OFF-Citations_M1 CARF directory (substitute Joint Commission if not in place)</w:t>
      </w:r>
    </w:p>
    <w:p>
      <w:pPr>
        <w:pStyle w:val="ListNumber"/>
        <w:spacing w:after="40"/>
      </w:pPr>
      <w:r>
        <w:rPr>
          <w:b/>
          <w:sz w:val="20"/>
        </w:rPr>
        <w:t>Insurance carriers in-network confirmation</w:t>
      </w:r>
      <w:r>
        <w:rPr>
          <w:sz w:val="20"/>
        </w:rPr>
        <w:t xml:space="preserve"> — gates OFF-Citations_M2 insurance directory submissions</w:t>
      </w:r>
    </w:p>
    <w:p>
      <w:pPr>
        <w:pStyle w:val="ListNumber"/>
        <w:spacing w:after="40"/>
      </w:pPr>
      <w:r>
        <w:rPr>
          <w:b/>
          <w:sz w:val="20"/>
        </w:rPr>
        <w:t>Clinical lead photo + bio + quotable consent</w:t>
      </w:r>
      <w:r>
        <w:rPr>
          <w:sz w:val="20"/>
        </w:rPr>
        <w:t xml:space="preserve"> — gates Psychology Today profile (OFF-Citations_M1) + OFF-PR_M2 LGBTQ+-affirming inpatient detox pitch</w:t>
      </w:r>
    </w:p>
    <w:p>
      <w:pPr>
        <w:spacing w:before="240" w:after="80"/>
      </w:pPr>
      <w:r>
        <w:rPr>
          <w:b/>
          <w:color w:val="0B1726"/>
          <w:sz w:val="28"/>
        </w:rPr>
        <w:t>Non-asks</w:t>
      </w:r>
    </w:p>
    <w:p>
      <w:pPr>
        <w:pStyle w:val="ListBullet"/>
        <w:spacing w:after="40"/>
      </w:pPr>
      <w:r>
        <w:rPr>
          <w:b/>
          <w:sz w:val="20"/>
        </w:rPr>
        <w:t>No legal-defense framing in copy or pitches</w:t>
      </w:r>
      <w:r>
        <w:rPr>
          <w:sz w:val="20"/>
        </w:rPr>
        <w:t xml:space="preserve"> — clinical-differentiation language only</w:t>
      </w:r>
    </w:p>
    <w:p>
      <w:pPr>
        <w:pStyle w:val="ListBullet"/>
        <w:spacing w:after="40"/>
      </w:pPr>
      <w:r>
        <w:rPr>
          <w:b/>
          <w:sz w:val="20"/>
        </w:rPr>
        <w:t>No Aaron-style SEO Neo / link-velocity surge</w:t>
      </w:r>
      <w:r>
        <w:rPr>
          <w:sz w:val="20"/>
        </w:rPr>
        <w:t xml:space="preserve"> — paused pending Off-page Risk Assessment outcome per </w:t>
      </w:r>
      <w:r>
        <w:rPr>
          <w:rFonts w:ascii="Consolas" w:hAnsi="Consolas"/>
          <w:sz w:val="18"/>
        </w:rPr>
        <w:t>project_hqdm_offpage_position.md</w:t>
      </w:r>
    </w:p>
    <w:p>
      <w:pPr>
        <w:pStyle w:val="ListBullet"/>
        <w:spacing w:after="40"/>
      </w:pPr>
      <w:r>
        <w:rPr>
          <w:b/>
          <w:sz w:val="20"/>
        </w:rPr>
        <w:t>No competitor-pin attack work on Brooklyn Center for Rehabilitation and Nursing</w:t>
      </w:r>
      <w:r>
        <w:rPr>
          <w:sz w:val="20"/>
        </w:rPr>
        <w:t xml:space="preserve"> — Tier 0 scope; forensic pull is observational not adversarial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