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ОТЧЕТ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о выполнении практической работы № 3</w:t>
      </w:r>
    </w:p>
    <w:p>
      <w:pPr>
        <w:spacing w:before="480"/>
        <w:jc w:val="center"/>
      </w:pPr>
      <w:r>
        <w:rPr>
          <w:rFonts w:ascii="Times New Roman" w:hAnsi="Times New Roman" w:eastAsia="Times New Roman"/>
          <w:b/>
          <w:sz w:val="38"/>
        </w:rPr>
        <w:t>«ПРИНЯТИЕ РЕШЕНИЙ МЕНЕДЖЕРОМ»</w:t>
      </w:r>
    </w:p>
    <w:p/>
    <w:p/>
    <w:p/>
    <w:p/>
    <w:p/>
    <w:p/>
    <w:p/>
    <w:p/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44"/>
        <w:gridCol w:w="4844"/>
      </w:tblGrid>
      <w:tr>
        <w:tc>
          <w:tcPr>
            <w:tcW w:type="dxa" w:w="2098"/>
          </w:tcPr>
          <w:p>
            <w:r/>
            <w:r>
              <w:rPr>
                <w:rFonts w:ascii="Times New Roman" w:hAnsi="Times New Roman" w:eastAsia="Times New Roman"/>
                <w:sz w:val="28"/>
              </w:rPr>
              <w:t>Исполнитель:</w:t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Times New Roman"/>
                <w:sz w:val="28"/>
              </w:rPr>
              <w:t>студент группы П-41</w:t>
            </w:r>
          </w:p>
        </w:tc>
      </w:tr>
      <w:tr>
        <w:tc>
          <w:tcPr>
            <w:tcW w:type="dxa" w:w="2098"/>
          </w:tcPr>
          <w:p>
            <w:r/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3572"/>
          </w:tcPr>
          <w:p>
            <w:r/>
            <w:r>
              <w:rPr>
                <w:rFonts w:ascii="Times New Roman" w:hAnsi="Times New Roman" w:eastAsia="Times New Roman"/>
                <w:sz w:val="28"/>
              </w:rPr>
              <w:t>Соловьев А. С.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1. Название и 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Название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«Принятие решений менеджером».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Цель работы: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определить доминирующие уровни и типы управленческих решений в четырёх предложенных ситуациях, исследовать связь уровня решения со старшинством должности, описать формирование личных «программ» действий и разработать пошаговые решения трёх управленческих проблем с применением рационального подхода, дерева решений в форме дерева игры и причинно-следственной диаграммы [1, с. 136–141, 173–175].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2. Список исполнителей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Соловьев А. С., группа П-41.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3. Теоретическая основа анализа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учебном пособии выделены четыре уровня принятия управленческих решений [1, с. 136–137].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60"/>
        <w:gridCol w:w="4032"/>
        <w:gridCol w:w="4363"/>
      </w:tblGrid>
      <w:tr>
        <w:trPr>
          <w:cantSplit/>
          <w:tblHeader w:val="true"/>
        </w:trPr>
        <w:tc>
          <w:tcPr>
            <w:tcW w:type="dxa" w:w="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Уровень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Содержание</w:t>
            </w:r>
          </w:p>
        </w:tc>
        <w:tc>
          <w:tcPr>
            <w:tcW w:type="dxa" w:w="43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Характерные признаки и навыки</w:t>
            </w:r>
          </w:p>
        </w:tc>
      </w:tr>
      <w:tr>
        <w:trPr>
          <w:cantSplit/>
        </w:trPr>
        <w:tc>
          <w:tcPr>
            <w:tcW w:type="dxa" w:w="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Рутинный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Выполнение знакомой, повторяющейся работы по известной программе или процедуре.</w:t>
            </w:r>
          </w:p>
        </w:tc>
        <w:tc>
          <w:tcPr>
            <w:tcW w:type="dxa" w:w="43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Распознавание типовой ситуации, точное следование процедуре, разумная оценка, контроль и мотивация.</w:t>
            </w:r>
          </w:p>
        </w:tc>
      </w:tr>
      <w:tr>
        <w:trPr>
          <w:cantSplit/>
        </w:trPr>
        <w:tc>
          <w:tcPr>
            <w:tcW w:type="dxa" w:w="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Селективный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Выбор наиболее подходящего решения из нескольких известных и отработанных альтернатив в заданных границах.</w:t>
            </w:r>
          </w:p>
        </w:tc>
        <w:tc>
          <w:tcPr>
            <w:tcW w:type="dxa" w:w="43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Постановка целей, планирование, анализ информации, сопоставление вариантов и выбор.</w:t>
            </w:r>
          </w:p>
        </w:tc>
      </w:tr>
      <w:tr>
        <w:trPr>
          <w:cantSplit/>
        </w:trPr>
        <w:tc>
          <w:tcPr>
            <w:tcW w:type="dxa" w:w="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Адаптационный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Создание нового для данной ситуации решения известной проблемы путём сочетания проверенных возможностей и новых идей.</w:t>
            </w:r>
          </w:p>
        </w:tc>
        <w:tc>
          <w:tcPr>
            <w:tcW w:type="dxa" w:w="43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Идентификация проблемы, систематизированное решение, работа группы, анализ риска и приспособление решения к изменившимся условиям.</w:t>
            </w:r>
          </w:p>
        </w:tc>
      </w:tr>
      <w:tr>
        <w:trPr>
          <w:cantSplit/>
        </w:trPr>
        <w:tc>
          <w:tcPr>
            <w:tcW w:type="dxa" w:w="9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Инновационный</w:t>
            </w:r>
          </w:p>
        </w:tc>
        <w:tc>
          <w:tcPr>
            <w:tcW w:type="dxa" w:w="4032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Поиск принципиально нового подхода к плохо определённой проблеме, для которой нет готового способа решения.</w:t>
            </w:r>
          </w:p>
        </w:tc>
        <w:tc>
          <w:tcPr>
            <w:tcW w:type="dxa" w:w="436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Творческое управление, стратегическое планирование, системное развитие, создание новых концепций, инструментов и технологий.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Уровни не являются оценкой должности или личности менеджера. Они характеризуют прежде всего структуру, новизну и неопределённость конкретной ситуации.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4. Анализ четырёх ситуаций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4.1. Ситуация 1: небольшой обувной магазин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Доминирующий уровень: 1-й, рутинный, с элементами 2-го, селективного.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Основная часть работы заранее запрограммирована головным офисом: разработаны процедуры рассмотрения жалоб, решения кадровых вопросов, проведения выставок, оформления заказов и ведения документации; задача руководителя - «пунктуально выполнять предписания компании» [1, с. 173]. Это прямо соответствует рутинному уровню.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Элементы селективного уровня возникают при непредвиденных обстоятельствах и необходимости самостоятельно принять важное решение. Однако свобода менеджера ограничена требованиями компании и согласованием с вышестоящим руководством, поэтому более высокий уровень не является доминирующим.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4.2. Ситуация 2: руководитель производственного отдела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Доминирующий уровень: 2-й, селективный, с отдельными элементами 3-го, адаптационного.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действует в достаточно свободных условиях и выбирает среди альтернатив по вопросам контроля качества, использования материалов, должностных перемещений и отношений работников. В тексте указано, что большинство проблем уже появлялось прежде, а задача руководителя заключается в выборе образа действий, который с наибольшей вероятностью приведёт к успеху [1, с. 173–174]. Это признаки селективного уровня.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Адаптационные элементы проявляются в необходимости приспосабливаться к внешним факторам, сочетать рациональный анализ с «чувством» ситуации и корректировать известные решения. При этом принципиально нового подхода обычно не требуется.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4.3. Ситуация 3: отдел маркетинга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Доминирующий уровень: 3-й, адаптационный, с элементами 2-го, селективного.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Отдел должен создавать новые возможности решения хорошо известных проблем: искать новые подходы к рекламе и методы активизации сбыта. Сначала требуется прояснить и упростить проблему, собрать информацию, затем сочетать способность выбирать с «подлинной новизной» и деловой осмысленностью [1, с. 174]. Следовательно, известная проблема решается в новой форме - это сущность адаптационного уровня.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Селективные элементы сохраняются, поскольку менеджер анализирует информацию и отбирает из идей пригодный вариант. Однако простой выбор из готовых программ не обеспечивает требуемой новизны.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4.4. Ситуация 4: руководитель исследовательского центра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Уровень: 4-й, инновационный.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Руководитель начинает с «достаточно плохо определённой проблемы, к которой не подходит ни одно из известных решений». Для результата могут понадобиться новый технический язык, концепции, инструменты, технологии или производственные возможности [1, с. 174]. Это точное совпадение с признаками инновационного уровня: проблема уникальна, готовой программы нет, а итог должен обладать подлинной новизной.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4.5. Связь уровня решения со старшинством должности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Прямой однозначной связи между должностным старшинством и уровнем решения </w:t>
      </w:r>
      <w:r>
        <w:rPr>
          <w:rFonts w:ascii="Times New Roman" w:hAnsi="Times New Roman" w:eastAsia="Times New Roman"/>
          <w:b/>
          <w:i w:val="0"/>
          <w:sz w:val="28"/>
        </w:rPr>
        <w:t>нет</w:t>
      </w:r>
      <w:r>
        <w:rPr>
          <w:rFonts w:ascii="Times New Roman" w:hAnsi="Times New Roman" w:eastAsia="Times New Roman"/>
          <w:b w:val="0"/>
          <w:i w:val="0"/>
          <w:sz w:val="28"/>
        </w:rPr>
        <w:t>. Руководители верхнего уровня чаще сталкиваются со стратегическими и инновационными вопросами, однако могут принимать рутинные решения по установленным регламентам. Руководитель низового или среднего звена также способен встретиться с новой аварийной, кадровой или рыночной ситуацией, требующей адаптационного либо инновационного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уровень определяется не названием должности, а повторяемостью проблемы, наличием готовой процедуры, числом известных альтернатив, степенью неопределённости и требуемой новизной ответа.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5. Одна практическая задача, решаемая на четырёх уровнях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Практическая задача: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организовать подготовку студента к зачёту по учебному курсу.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45"/>
        <w:gridCol w:w="4923"/>
        <w:gridCol w:w="3687"/>
      </w:tblGrid>
      <w:tr>
        <w:trPr>
          <w:cantSplit/>
          <w:tblHeader w:val="true"/>
        </w:trPr>
        <w:tc>
          <w:tcPr>
            <w:tcW w:type="dxa" w:w="74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Уровень</w:t>
            </w:r>
          </w:p>
        </w:tc>
        <w:tc>
          <w:tcPr>
            <w:tcW w:type="dxa" w:w="49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Вариант решения задачи</w:t>
            </w:r>
          </w:p>
        </w:tc>
        <w:tc>
          <w:tcPr>
            <w:tcW w:type="dxa" w:w="36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Почему соответствует уровню</w:t>
            </w:r>
          </w:p>
        </w:tc>
      </w:tr>
      <w:tr>
        <w:trPr>
          <w:cantSplit/>
        </w:trPr>
        <w:tc>
          <w:tcPr>
            <w:tcW w:type="dxa" w:w="74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Рутинный</w:t>
            </w:r>
          </w:p>
        </w:tc>
        <w:tc>
          <w:tcPr>
            <w:tcW w:type="dxa" w:w="49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Выполнить привычную программу: перечитать конспект, выучить определения по готовому списку вопросов, решить типовой тест, проверить наличие всех работ.</w:t>
            </w:r>
          </w:p>
        </w:tc>
        <w:tc>
          <w:tcPr>
            <w:tcW w:type="dxa" w:w="36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Содержание и порядок действий заранее известны и уже применялись. Требуется дисциплинированно исполнить программу.</w:t>
            </w:r>
          </w:p>
        </w:tc>
      </w:tr>
      <w:tr>
        <w:trPr>
          <w:cantSplit/>
        </w:trPr>
        <w:tc>
          <w:tcPr>
            <w:tcW w:type="dxa" w:w="74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Селективный</w:t>
            </w:r>
          </w:p>
        </w:tc>
        <w:tc>
          <w:tcPr>
            <w:tcW w:type="dxa" w:w="49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Оценить оставшееся время и пробелы, затем выбрать из готовых способов: лекции, учебник, карточки, тренировочные тесты, консультация или занятия с группой.</w:t>
            </w:r>
          </w:p>
        </w:tc>
        <w:tc>
          <w:tcPr>
            <w:tcW w:type="dxa" w:w="36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Меняется не принцип подготовки, а выбирается наиболее подходящая комбинация известных альтернатив.</w:t>
            </w:r>
          </w:p>
        </w:tc>
      </w:tr>
      <w:tr>
        <w:trPr>
          <w:cantSplit/>
        </w:trPr>
        <w:tc>
          <w:tcPr>
            <w:tcW w:type="dxa" w:w="74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Адаптационный</w:t>
            </w:r>
          </w:p>
        </w:tc>
        <w:tc>
          <w:tcPr>
            <w:tcW w:type="dxa" w:w="49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Если обычная подготовка не даёт результата, создать индивидуальную схему: карту понятий, интервальное повторение, короткие устные защиты и разбор ошибок после каждого пробного теста.</w:t>
            </w:r>
          </w:p>
        </w:tc>
        <w:tc>
          <w:tcPr>
            <w:tcW w:type="dxa" w:w="36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Известные методы объединяются и приспосабливаются к конкретным ошибкам и ограничению времени; решение ново для данной ситуации.</w:t>
            </w:r>
          </w:p>
        </w:tc>
      </w:tr>
      <w:tr>
        <w:trPr>
          <w:cantSplit/>
        </w:trPr>
        <w:tc>
          <w:tcPr>
            <w:tcW w:type="dxa" w:w="74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Инновационный</w:t>
            </w:r>
          </w:p>
        </w:tc>
        <w:tc>
          <w:tcPr>
            <w:tcW w:type="dxa" w:w="492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Разработать и испытать новый формат подготовки: адаптивный тренажёр, который строит граф знаний, формирует вопросы по выявленным связям и меняет сложность после каждого ответа, дополняя его системой взаимной микрозащиты студентов.</w:t>
            </w:r>
          </w:p>
        </w:tc>
        <w:tc>
          <w:tcPr>
            <w:tcW w:type="dxa" w:w="368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Создаётся новый инструмент и новая организация процесса, а не выбирается готовая программа. Результат заранее не гарантирован и требует эксперимента.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Одна и та же конечная цель не задаёт уровень решения автоматически: уровень меняется в зависимости от того, используется ли готовая процедура, производится выбор, выполняется адаптация или создаётся принципиально новый способ.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6. Ответ на вопрос задания 2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6.1. Программа подготовки и отправки учебной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первой сдаче электронной работы беспокойство вызывали требования к структуре, формату файла, теме письма, сроку и подтверждению получения. Постепенно сформировалась программа: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прочитать требования и выписать обязательные элементы;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подготовить работу по шаблону;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проверить название файла и тему письма;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открыть итоговый файл и проверить отображение таблиц и рисунков;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отправить работу и убедиться, что она доставлена;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сохранить отправленный файл и подтверждение.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Эта программа использовалась впоследствии для других практических работ. В типовой ситуации она относится к </w:t>
      </w:r>
      <w:r>
        <w:rPr>
          <w:rFonts w:ascii="Times New Roman" w:hAnsi="Times New Roman" w:eastAsia="Times New Roman"/>
          <w:b/>
          <w:i w:val="0"/>
          <w:sz w:val="28"/>
        </w:rPr>
        <w:t>1-му, рутинному уровню</w:t>
      </w:r>
      <w:r>
        <w:rPr>
          <w:rFonts w:ascii="Times New Roman" w:hAnsi="Times New Roman" w:eastAsia="Times New Roman"/>
          <w:b w:val="0"/>
          <w:i w:val="0"/>
          <w:sz w:val="28"/>
        </w:rPr>
        <w:t>. Если преподаватель изменяет формат или канал сдачи, появляется селективный элемент: необходимо выбрать способ адаптации известной процедуры.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6.2. Программа подготовки к устной защите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Первая защита вызывала затруднения из-за неизвестной формы вопросов и необходимости отвечать без чтения текста. После нескольких попыток сформировалась программа: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составить список терминов и контрольных вопросов;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дать каждому понятию краткое определение своими словами;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подготовить пример и контрпример;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провести две пробные защиты с таймером;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записать ошибки и повторить слабые темы;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накануне выполнить краткое контрольное повторение.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Программа применима на </w:t>
      </w:r>
      <w:r>
        <w:rPr>
          <w:rFonts w:ascii="Times New Roman" w:hAnsi="Times New Roman" w:eastAsia="Times New Roman"/>
          <w:b/>
          <w:i w:val="0"/>
          <w:sz w:val="28"/>
        </w:rPr>
        <w:t>1-м уровне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, если формат защиты знаком и повторяется. При выборе между письменной тренировкой, обсуждением в группе и устной репетицией возникает </w:t>
      </w:r>
      <w:r>
        <w:rPr>
          <w:rFonts w:ascii="Times New Roman" w:hAnsi="Times New Roman" w:eastAsia="Times New Roman"/>
          <w:b/>
          <w:i w:val="0"/>
          <w:sz w:val="28"/>
        </w:rPr>
        <w:t>2-й, селективный уровень</w:t>
      </w:r>
      <w:r>
        <w:rPr>
          <w:rFonts w:ascii="Times New Roman" w:hAnsi="Times New Roman" w:eastAsia="Times New Roman"/>
          <w:b w:val="0"/>
          <w:i w:val="0"/>
          <w:sz w:val="28"/>
        </w:rPr>
        <w:t>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6.3. Всегда ли готовый ответ правилен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Готовый ответ не всегда правилен. Он может быть рассчитан на другие условия, устареть, устранять симптом вместо причины или не учитывать новый критерий и риск. Программа полезна только после распознавания ситуации. Если существенные признаки изменились, механическое следование прежнему алгоритму создаёт ошибку; требуется выбрать другой вариант, адаптировать программу либо заново определить проблему.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7. Задание 3: рациональный подход к трём управленческим вопросам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конкретизации выбрана </w:t>
      </w:r>
      <w:r>
        <w:rPr>
          <w:rFonts w:ascii="Times New Roman" w:hAnsi="Times New Roman" w:eastAsia="Times New Roman"/>
          <w:b/>
          <w:i w:val="0"/>
          <w:sz w:val="28"/>
        </w:rPr>
        <w:t>ситуация 2: производственный отдел</w:t>
      </w:r>
      <w:r>
        <w:rPr>
          <w:rFonts w:ascii="Times New Roman" w:hAnsi="Times New Roman" w:eastAsia="Times New Roman"/>
          <w:b w:val="0"/>
          <w:i w:val="0"/>
          <w:sz w:val="28"/>
        </w:rPr>
        <w:t>. Его руководитель работает с качеством, материалами, персоналом и производственными отношениями, располагает несколькими известными альтернативами и несёт личную ответственность за выбор [1, с. 173–174].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исходной формулировке три пункта названы проблемами. На стадии обнаружения это действительно проблемы - разрыв между текущим и желаемым состоянием. После уточнения результата, срока, критериев и ответственного они становятся управленческими задачами.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Рациональный подход включает три повторяемые стадии [1, с. 138–139]: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1. </w:t>
      </w:r>
      <w:r>
        <w:rPr>
          <w:rFonts w:ascii="Times New Roman" w:hAnsi="Times New Roman" w:eastAsia="Times New Roman"/>
          <w:b/>
          <w:i w:val="0"/>
          <w:sz w:val="28"/>
        </w:rPr>
        <w:t>Обдумывание: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распознать и точно определить проблему, отличить её от симптома, собрать информацию, установить обязательные и желательные критерии.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2. </w:t>
      </w:r>
      <w:r>
        <w:rPr>
          <w:rFonts w:ascii="Times New Roman" w:hAnsi="Times New Roman" w:eastAsia="Times New Roman"/>
          <w:b/>
          <w:i w:val="0"/>
          <w:sz w:val="28"/>
        </w:rPr>
        <w:t>Проект: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систематически сформировать несколько обычных и новых вариантов, провести консультации, определить последствия, ресурсы и риски.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3. </w:t>
      </w:r>
      <w:r>
        <w:rPr>
          <w:rFonts w:ascii="Times New Roman" w:hAnsi="Times New Roman" w:eastAsia="Times New Roman"/>
          <w:b/>
          <w:i w:val="0"/>
          <w:sz w:val="28"/>
        </w:rPr>
        <w:t>Выбор: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проверить варианты по критериям, выбрать лучший, составить план реализации и контроля. Если приемлемого варианта нет, переопределить проблему или критерии и повторить цикл.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7.1. Приём сотрудника на вакантную должность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Обдумывание.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Проверить, является ли причиной перегрузки именно вакансия, а не неэффективное распределение работы или лишние операции.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Определить результат: закрыть должность к установленной дате без выхода за фонд оплаты труда и без снижения качества.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Собрать сведения о фактической загрузке, функциях должности, бюджете, рынке труда и опыте прошлых наймов.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Установить обязательные критерии: профессиональная компетентность, законность оформления, соответствие зарплатному бюджету, доступность к нужному сроку. Желательные: отраслевой опыт, коммуникация, потенциал развития.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Проект.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Сформировать альтернативы: внутренний перевод; внешний найм; временный сотрудник; кадровое агентство; передача части функций подрядчику; перераспределение или автоматизация работы без найма.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Провести консультации с кадровой службой, будущими коллегами и финансовым подразделением.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Для каждого варианта определить стоимость, срок, риск ошибочного найма и ожидаемую производительность.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Выбор и реализация.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Отсеять варианты, не удовлетворяющие обязательным критериям; остальные оценить по единой шкале.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Выбрать, например, внешний конкурс с временным внутренним распределением функций до выхода сотрудника.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Утвердить профиль вакансии, ответственных, этапы интервью, проверочное задание и срок.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После приёма контролировать результат по плану адаптации и показателям испытательного срока. Если кандидат не достигает минимальных критериев, вернуться к альтернативам.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7.2. Покупка или аренда производственного помещения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Обдумывание.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Уточнить, является ли помещение действительной причиной ограничения выпуска; проверить возможность повысить загрузку имеющихся площадей.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Определить горизонт потребности, требуемую площадь, логистику, энергоснабжение, безопасность, разрешённое использование и прогноз объёма производства.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Установить обязательные критерии: техническая пригодность, соблюдение норм, доступность к сроку, финансовый лимит. Желательные: возможность расширения, транспортная доступность, гибкость выхода из проекта.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Проект.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Сформировать варианты: покупка готового здания; долгосрочная аренда; аренда с правом выкупа; строительство; совместное использование площадки; модернизация действующего помещения.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Для каждого варианта рассчитать совокупную стоимость владения, денежный поток, срок запуска, стоимость переезда и прекращения договора.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Рассмотреть сценарии высокого, базового и низкого спроса, юридические и технические риски.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Выбор и реализация.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Сопоставить варианты по стоимости, сроку, гибкости и риску. При нестабильном спросе рациональным предварительным выбором является аренда с правом выкупа: она снижает первоначальные вложения и сохраняет возможность закрепить объект.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Провести техническую и юридическую проверку, согласовать договор, план переезда и контрольные показатели использования площади.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Через установленный период повторно проверить прогноз: при устойчивой загрузке реализовать выкуп, при недозагрузке изменить площадь или отказаться от продления.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7.3. Поиск путей достижения 10-процентного роста прибыли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Обдумывание.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Точно определить показатель: рост операционной прибыли не менее чем на 10% за 12 месяцев относительно согласованной базы.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Разложить прибыль на факторы выручки и затрат; проверить, не вызвано ли снижение разовым событием.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Собрать данные по цене, объёму, продуктовой марже, браку, простоям, закупкам, производительности и каналам продаж.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Установить обязательные критерии: ожидаемый прирост не менее 10%, соблюдение закона и безопасности, сохранение минимального качества и ликвидности. Желательные: окупаемость до года, отсутствие массового сокращения, обратимость пилота.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Проект.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Сформировать варианты: повышение цены и изменение продуктового портфеля; рост продаж; снижение закупочных цен; уменьшение брака и простоев; повышение производительности; комбинированная программа.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Провести консультации производства, маркетинга, продаж, финансов и снабжения.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Оценить варианты в сценариях реакции покупателей и конкурентов. Для визуальной проверки использовать причинно-следственную диаграмму и дерево игры.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Выбор и реализация.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Сравнить ожидаемый выигрыш и риск. По приведённым ниже условным оценкам комбинированная стратегия имеет ожидаемый результат 10,4% и превосходит односторонние варианты.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Запустить пилоты: корректировка цены и продуктового набора, переговоры с поставщиками, снижение брака на выбранной линии и адресная кампания продаж.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Назначить владельцев показателей и ежемесячно контролировать маржу, объём, себестоимость, брак и денежный поток.</w:t>
      </w:r>
    </w:p>
    <w:p>
      <w:pPr>
        <w:spacing w:line="360" w:lineRule="auto" w:before="0" w:after="0"/>
        <w:ind w:left="709" w:hanging="312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• Если промежуточный результат ниже траектории, пересмотреть причины, критерии и набор действий, то есть повторить рациональный цикл.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8. Визуализация решения задания 3</w:t>
      </w:r>
    </w:p>
    <w:p>
      <w:pPr>
        <w:spacing w:line="240" w:lineRule="auto" w:before="0"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8.1. Дерево решений в версии «дерево игры»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Для задачи роста прибыли используется дерево игры «предприятие - рыночная среда». Квадрат обозначает точку принятия решения менеджером, круги - ответ внешней среды, конечные узлы - выигрыш или проигрыш в виде изменения прибыли. Вероятности и проценты являются </w:t>
      </w:r>
      <w:r>
        <w:rPr>
          <w:rFonts w:ascii="Times New Roman" w:hAnsi="Times New Roman" w:eastAsia="Times New Roman"/>
          <w:b/>
          <w:i w:val="0"/>
          <w:sz w:val="28"/>
        </w:rPr>
        <w:t>условными экспертными оценками для учебного примера</w:t>
      </w:r>
      <w:r>
        <w:rPr>
          <w:rFonts w:ascii="Times New Roman" w:hAnsi="Times New Roman" w:eastAsia="Times New Roman"/>
          <w:b w:val="0"/>
          <w:i w:val="0"/>
          <w:sz w:val="28"/>
        </w:rPr>
        <w:t>, а не фактами из исходной ситуации.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4449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449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Рисунок 1 - Дерево игры для выбора стратегии роста прибыли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3"/>
        <w:gridCol w:w="4385"/>
        <w:gridCol w:w="2160"/>
        <w:gridCol w:w="1107"/>
      </w:tblGrid>
      <w:tr>
        <w:trPr>
          <w:cantSplit/>
          <w:tblHeader w:val="true"/>
        </w:trPr>
        <w:tc>
          <w:tcPr>
            <w:tcW w:type="dxa" w:w="170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Стратегия</w:t>
            </w:r>
          </w:p>
        </w:tc>
        <w:tc>
          <w:tcPr>
            <w:tcW w:type="dxa" w:w="438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Возможные ответы среды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Расчёт ожидаемого выигрыша</w:t>
            </w:r>
          </w:p>
        </w:tc>
        <w:tc>
          <w:tcPr>
            <w:tcW w:type="dxa" w:w="11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70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А. Рост выручки</w:t>
            </w:r>
          </w:p>
        </w:tc>
        <w:tc>
          <w:tcPr>
            <w:tcW w:type="dxa" w:w="438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Сильный отклик: 0,5 и +14%; ограниченный: 0,3 и +7%; отрицательный: 0,2 и −3%.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0,5 × 14 + 0,3 × 7 − 0,2 × 3</w:t>
            </w:r>
          </w:p>
        </w:tc>
        <w:tc>
          <w:tcPr>
            <w:tcW w:type="dxa" w:w="11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+8,5%</w:t>
            </w:r>
          </w:p>
        </w:tc>
      </w:tr>
      <w:tr>
        <w:trPr>
          <w:cantSplit/>
        </w:trPr>
        <w:tc>
          <w:tcPr>
            <w:tcW w:type="dxa" w:w="170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Б. Снижение затрат</w:t>
            </w:r>
          </w:p>
        </w:tc>
        <w:tc>
          <w:tcPr>
            <w:tcW w:type="dxa" w:w="438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Полная экономия: 0,6 и +11%; частичная: 0,3 и +6%; потеря качества: 0,1 и −4%.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0,6 × 11 + 0,3 × 6 − 0,1 × 4</w:t>
            </w:r>
          </w:p>
        </w:tc>
        <w:tc>
          <w:tcPr>
            <w:tcW w:type="dxa" w:w="11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+8,0%</w:t>
            </w:r>
          </w:p>
        </w:tc>
      </w:tr>
      <w:tr>
        <w:trPr>
          <w:cantSplit/>
        </w:trPr>
        <w:tc>
          <w:tcPr>
            <w:tcW w:type="dxa" w:w="170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В. Комбинированная программа</w:t>
            </w:r>
          </w:p>
        </w:tc>
        <w:tc>
          <w:tcPr>
            <w:tcW w:type="dxa" w:w="438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Согласованная реализация: 0,7 и +12%; частичный результат: 0,2 и +9%; сбой: 0,1 и +2%.</w:t>
            </w:r>
          </w:p>
        </w:tc>
        <w:tc>
          <w:tcPr>
            <w:tcW w:type="dxa" w:w="2160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0,7 × 12 + 0,2 × 9 + 0,1 × 2</w:t>
            </w:r>
          </w:p>
        </w:tc>
        <w:tc>
          <w:tcPr>
            <w:tcW w:type="dxa" w:w="110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+10,4%</w:t>
            </w:r>
          </w:p>
        </w:tc>
      </w:tr>
    </w:tbl>
    <w:p>
      <w:pPr>
        <w:spacing w:line="24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 критерию максимального ожидаемого прироста выбирается стратегия В. Она обеспечивает выигрыш выше целевых 10% в среднем, но не устраняет риск неблагоприятного исхода; поэтому решение дополняется пилотами и контрольными точками.</w:t>
      </w:r>
    </w:p>
    <w:p>
      <w:pPr>
        <w:spacing w:line="240" w:lineRule="auto" w:before="0" w:after="0"/>
      </w:pPr>
      <w:r>
        <w:br w:type="page"/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30"/>
        </w:rPr>
        <w:t>8.2. Причинно-следственная диаграмма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Диаграмма построена для следствия </w:t>
      </w:r>
      <w:r>
        <w:rPr>
          <w:rFonts w:ascii="Times New Roman" w:hAnsi="Times New Roman" w:eastAsia="Times New Roman"/>
          <w:b/>
          <w:i w:val="0"/>
          <w:sz w:val="28"/>
        </w:rPr>
        <w:t>«прирост прибыли менее 10%»</w:t>
      </w:r>
      <w:r>
        <w:rPr>
          <w:rFonts w:ascii="Times New Roman" w:hAnsi="Times New Roman" w:eastAsia="Times New Roman"/>
          <w:b w:val="0"/>
          <w:i w:val="0"/>
          <w:sz w:val="28"/>
        </w:rPr>
        <w:t>. Она не даёт готового ответа, но систематизирует направления поиска причин и препятствует преждевременному выбору единственного объяснения [1, с. 140].</w:t>
      </w:r>
    </w:p>
    <w:p>
      <w:pPr>
        <w:keepNext/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3845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45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Рисунок 2 - Причинно-следственная диаграмма недостижения целевого роста прибыли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57"/>
        <w:gridCol w:w="3683"/>
        <w:gridCol w:w="4115"/>
      </w:tblGrid>
      <w:tr>
        <w:trPr>
          <w:cantSplit/>
          <w:tblHeader w:val="true"/>
        </w:trPr>
        <w:tc>
          <w:tcPr>
            <w:tcW w:type="dxa" w:w="15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Группа причин</w:t>
            </w:r>
          </w:p>
        </w:tc>
        <w:tc>
          <w:tcPr>
            <w:tcW w:type="dxa" w:w="36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Проверяемые показатели</w:t>
            </w:r>
          </w:p>
        </w:tc>
        <w:tc>
          <w:tcPr>
            <w:tcW w:type="dxa" w:w="41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  <w:shd w:fill="D9E2F3"/>
          </w:tcPr>
          <w:p>
            <w:pPr>
              <w:spacing w:line="240" w:lineRule="auto" w:before="0"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Возможные компенсирующие действия</w:t>
            </w:r>
          </w:p>
        </w:tc>
      </w:tr>
      <w:tr>
        <w:trPr>
          <w:cantSplit/>
        </w:trPr>
        <w:tc>
          <w:tcPr>
            <w:tcW w:type="dxa" w:w="15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Продажи и рынок</w:t>
            </w:r>
          </w:p>
        </w:tc>
        <w:tc>
          <w:tcPr>
            <w:tcW w:type="dxa" w:w="36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Число заказов, конверсия, средний чек, отток покупателей.</w:t>
            </w:r>
          </w:p>
        </w:tc>
        <w:tc>
          <w:tcPr>
            <w:tcW w:type="dxa" w:w="41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Сегментация, новые каналы, улучшение воронки, адресные предложения.</w:t>
            </w:r>
          </w:p>
        </w:tc>
      </w:tr>
      <w:tr>
        <w:trPr>
          <w:cantSplit/>
        </w:trPr>
        <w:tc>
          <w:tcPr>
            <w:tcW w:type="dxa" w:w="15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Продукт и цена</w:t>
            </w:r>
          </w:p>
        </w:tc>
        <w:tc>
          <w:tcPr>
            <w:tcW w:type="dxa" w:w="36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Маржа по продуктам, скидки, доля низкомаржинальных позиций, возвраты.</w:t>
            </w:r>
          </w:p>
        </w:tc>
        <w:tc>
          <w:tcPr>
            <w:tcW w:type="dxa" w:w="41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Изменение продуктового портфеля и цены, отказ от убыточных позиций.</w:t>
            </w:r>
          </w:p>
        </w:tc>
      </w:tr>
      <w:tr>
        <w:trPr>
          <w:cantSplit/>
        </w:trPr>
        <w:tc>
          <w:tcPr>
            <w:tcW w:type="dxa" w:w="15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Материалы и затраты</w:t>
            </w:r>
          </w:p>
        </w:tc>
        <w:tc>
          <w:tcPr>
            <w:tcW w:type="dxa" w:w="36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Закупочные цены, расход материала, энергия, логистика.</w:t>
            </w:r>
          </w:p>
        </w:tc>
        <w:tc>
          <w:tcPr>
            <w:tcW w:type="dxa" w:w="41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Переговоры с поставщиками, нормы расхода, снижение потерь и энергозатрат.</w:t>
            </w:r>
          </w:p>
        </w:tc>
      </w:tr>
      <w:tr>
        <w:trPr>
          <w:cantSplit/>
        </w:trPr>
        <w:tc>
          <w:tcPr>
            <w:tcW w:type="dxa" w:w="15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Процессы и оборудование</w:t>
            </w:r>
          </w:p>
        </w:tc>
        <w:tc>
          <w:tcPr>
            <w:tcW w:type="dxa" w:w="36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Простои, производительность, длительность цикла, загрузка.</w:t>
            </w:r>
          </w:p>
        </w:tc>
        <w:tc>
          <w:tcPr>
            <w:tcW w:type="dxa" w:w="41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Профилактика, устранение узких мест, стандартизация операций.</w:t>
            </w:r>
          </w:p>
        </w:tc>
      </w:tr>
      <w:tr>
        <w:trPr>
          <w:cantSplit/>
        </w:trPr>
        <w:tc>
          <w:tcPr>
            <w:tcW w:type="dxa" w:w="15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Персонал и управление</w:t>
            </w:r>
          </w:p>
        </w:tc>
        <w:tc>
          <w:tcPr>
            <w:tcW w:type="dxa" w:w="36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Выработка, текучесть, квалификация, конфликты, исполнение решений.</w:t>
            </w:r>
          </w:p>
        </w:tc>
        <w:tc>
          <w:tcPr>
            <w:tcW w:type="dxa" w:w="41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Обучение, мотивация, распределение ответственности, урегулирование конфликтов.</w:t>
            </w:r>
          </w:p>
        </w:tc>
      </w:tr>
      <w:tr>
        <w:trPr>
          <w:cantSplit/>
        </w:trPr>
        <w:tc>
          <w:tcPr>
            <w:tcW w:type="dxa" w:w="1557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Информация и контроль</w:t>
            </w:r>
          </w:p>
        </w:tc>
        <w:tc>
          <w:tcPr>
            <w:tcW w:type="dxa" w:w="3683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Точность прогноза, своевременность данных, расчёт себестоимости и маржи.</w:t>
            </w:r>
          </w:p>
        </w:tc>
        <w:tc>
          <w:tcPr>
            <w:tcW w:type="dxa" w:w="4115"/>
            <w:tcMar>
              <w:top w:w="55" w:type="dxa"/>
              <w:start w:w="65" w:type="dxa"/>
              <w:bottom w:w="55" w:type="dxa"/>
              <w:end w:w="65" w:type="dxa"/>
            </w:tcMar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Управленческая панель, единые определения показателей, регулярный факторный анализ.</w:t>
            </w:r>
          </w:p>
        </w:tc>
      </w:tr>
    </w:tbl>
    <w:p>
      <w:pPr>
        <w:spacing w:line="240" w:lineRule="auto" w:before="0" w:after="0"/>
      </w:pP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9. Выводы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Четыре описанные ситуации последовательно иллюстрируют рутинный, селективный, адаптационный и инновационный уровни. При этом в реальной деятельности один уровень может доминировать, сохраняя элементы соседнего более высокого уровня.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Уровень решения не определяется должностью автоматически. Решающими являются повторяемость и определённость проблемы, наличие готовой процедуры, число известных альтернатив и необходимая степень новизны.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Одна и та же задача подготовки к зачёту может решаться на всех четырёх уровнях: от исполнения готового плана до разработки нового адаптивного инструмента.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4. Готовая программа снижает затраты времени в типовой ситуации, но становится источником ошибки, если менеджер неверно распознал условия или механически использовал устаревший ответ.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5. Рациональный подход переводит проблему в управляемую задачу через определение причин и критериев, разработку альтернатив, проверку вариантов, выбор, реализацию и обратную связь.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6. Дерево игры показывает последовательность выбора, реакцию среды, риск, выигрыш и проигрыш. Причинно-следственная диаграмма дополняет его, раскрывая группы причин недостижения целевого результата.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7. Для учебного примера роста прибыли комбинированная стратегия имеет наибольший ожидаемый выигрыш - 10,4%, однако окончательное решение допустимо только после проверки исходных оценок и результатов пилотных мероприятий.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10. Список использованных источников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Лукичёва Л. И. Управление организацией: учебное пособие по специальности «Менеджмент организации» / Л. И. Лукичёва; под ред. Ю. П. Анискина. - 3-е изд., стер. - М.: Омега-Л, 2006. - 360 с. - ISBN 5-98119-986-5. - С. 136–141, 173–175.</w:t>
      </w:r>
    </w:p>
    <w:p>
      <w:pPr>
        <w:spacing w:line="360" w:lineRule="auto" w:before="0" w:after="0"/>
        <w:ind w:left="709" w:hanging="36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Ожегов С. И., Шведова Н. Ю. Толковый словарь русского языка: 80 000 слов и фразеологических выражений. - 4-е изд., доп. - М.: Азбуковник, 1999. - 944 с.</w:t>
      </w:r>
    </w:p>
    <w:p>
      <w:pPr>
        <w:spacing w:line="240" w:lineRule="auto" w:before="0" w:after="0"/>
      </w:pPr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32"/>
        </w:rPr>
        <w:t>Приложение А. Краткий словарь терминов для защиты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Дерево решений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графическая модель последовательных вариантов решения, возможных событий, результатов и, при необходимости, их вероятностей и выигрышей.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Дерево игры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дерево решений, в котором показана последовательность ходов участников стратегического взаимодействия или менеджера и внешней среды; в узлах обозначается, кто делает ход, а в конечных вершинах - выигрыши и проигрыши.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Теория игр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совокупность методов анализа ситуаций, где результат каждого участника зависит не только от его действий, но и от решений других участников.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Причина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обстоятельство или процесс, порождающие либо изменяющие другое явление.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Следствие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результат действия одной или нескольких причин.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Проблема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разрыв или противоречие между фактическим и желаемым состоянием, способ устранения которого ещё требуется найти.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Задача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конкретизированный результат, который необходимо получить в установленных условиях, сроках и ограничениях.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Рутина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регулярно повторяющаяся деятельность, выполняемая по известной процедуре без необходимости создавать новый способ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Селекция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отбор допустимых и предпочтительных альтернатив из заранее известного множества по установленным критериям.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Выбор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акт принятия одной альтернативы или определённого набора действий как решения.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Адаптация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имеет два взаимосвязанных направления: 1) приспособление решения и организации к изменившимся условиям; 2) активное изменение внутренних процессов или доступной части среды под выбранную цель.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Риск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возможность отклонения фактического результата от ожидаемого, включая вероятность потерь или недостижения цели.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Анализ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мысленное или практическое разложение объекта и ситуации на элементы, связи и факторы для их изучения.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Ответственность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обязанность лица обосновать принятое решение и отвечать за его исполнение и последствия в пределах полномочий.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Новация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новая идея, метод, разработка или продукт, ещё не обязательно внедрённые и давшие практический эффект.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Инновация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внедрённая новация, которая используется на практике и создаёт измеримый полезный эффект.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Диаграмма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условное графическое представление данных, структуры, связей или последовательности действий.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Визуализация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представление информации в наглядной графической форме для облегчения анализа и понимания.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Стратегия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общее долгосрочное направление действий и распределения ресурсов для достижения цели.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Тактика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конкретные краткосрочные действия и приёмы реализации стратегии в текущих условиях.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Выигрыш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полезный результат участника при определённом сочетании действий; в дереве игры может выражаться прибылью, временем, баллами или иной мерой.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Проигрыш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отрицательный результат, потеря или недостижение установленного критерия.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Альтернатива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взаимоисключающий способ действия, выбираемый вместо другого способа.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Вариант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конкретное возможное исполнение решения; варианты могут различаться деталями внутри одной альтернативы.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Точка принятия решения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 - узел процесса или дерева, в котором уполномоченное лицо должно выбрать дальнейшее действие из нескольких доступных направлений.</w:t>
      </w:r>
    </w:p>
    <w:sectPr w:rsidR="00FC693F" w:rsidRPr="0006063C" w:rsidSect="00034616">
      <w:footerReference w:type="default" r:id="rId9"/>
      <w:footerReference w:type="first" r:id="rId12"/>
      <w:footerReference w:type="even" r:id="rId13"/>
      <w:pgSz w:w="12240" w:h="15840"/>
      <w:pgMar w:top="1134" w:right="850" w:bottom="1134" w:left="1701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footer" Target="footer2.xml"/><Relationship Id="rId13" Type="http://schemas.openxmlformats.org/officeDocument/2006/relationships/footer" Target="footer3.xml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Принятие решений менеджером</dc:title>
  <dc:subject>Практическая работа № 3</dc:subject>
  <dc:creator>Соловьев А. С., группа П-41</dc:creator>
  <cp:keywords>уровни решений, рациональный подход, дерево игры, причинно-следственная диаграмма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