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rFonts w:ascii="Times New Roman" w:hAnsi="Times New Roman" w:eastAsia="Times New Roman"/>
          <w:b/>
          <w:sz w:val="36"/>
        </w:rPr>
        <w:t>ОТЧЕТ</w:t>
      </w:r>
    </w:p>
    <w:p>
      <w:pPr>
        <w:jc w:val="center"/>
      </w:pPr>
      <w:r>
        <w:rPr>
          <w:rFonts w:ascii="Times New Roman" w:hAnsi="Times New Roman" w:eastAsia="Times New Roman"/>
          <w:b/>
          <w:sz w:val="32"/>
        </w:rPr>
        <w:t>о выполнении практической работы № 1</w:t>
      </w:r>
    </w:p>
    <w:p>
      <w:pPr>
        <w:spacing w:before="400"/>
        <w:jc w:val="center"/>
      </w:pPr>
      <w:r>
        <w:rPr>
          <w:rFonts w:ascii="Times New Roman" w:hAnsi="Times New Roman" w:eastAsia="Times New Roman"/>
          <w:b/>
          <w:sz w:val="36"/>
        </w:rPr>
        <w:t>«АНАЛИЗ ФАКТОРОВ, КРИТЕРИЕВ И ОГРАНИЧЕНИЙ</w:t>
        <w:br/>
        <w:t>ПРИ ПРИНЯТИИ УПРАВЛЕНЧЕСКИХ РЕШЕНИЙ»</w:t>
      </w:r>
    </w:p>
    <w:p>
      <w:pPr>
        <w:spacing w:before="240"/>
        <w:jc w:val="center"/>
      </w:pPr>
      <w:r>
        <w:rPr>
          <w:rFonts w:ascii="Times New Roman" w:hAnsi="Times New Roman" w:eastAsia="Times New Roman"/>
          <w:sz w:val="28"/>
        </w:rPr>
        <w:t>(на примере ОАО «Ирбитский мотоциклетный завод»)</w:t>
      </w:r>
    </w:p>
    <w:p/>
    <w:p/>
    <w:p/>
    <w:p/>
    <w:p/>
    <w:p/>
    <w:p/>
    <w:tbl>
      <w:tblPr>
        <w:tblW w:type="auto" w:w="0"/>
        <w:jc w:val="righ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984"/>
        <w:gridCol w:w="3685"/>
      </w:tblGrid>
      <w:tr>
        <w:tc>
          <w:tcPr>
            <w:tcW w:type="dxa" w:w="1984"/>
            <w:tcBorders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sz w:val="28"/>
              </w:rPr>
              <w:t>Исполнитель:</w:t>
            </w:r>
          </w:p>
        </w:tc>
        <w:tc>
          <w:tcPr>
            <w:tcW w:type="dxa" w:w="3685"/>
            <w:tcBorders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sz w:val="28"/>
              </w:rPr>
              <w:t>студент группы П-41</w:t>
            </w:r>
          </w:p>
        </w:tc>
      </w:tr>
      <w:tr>
        <w:tc>
          <w:tcPr>
            <w:tcW w:type="dxa" w:w="1984"/>
            <w:tcBorders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sz w:val="28"/>
              </w:rPr>
            </w:r>
          </w:p>
        </w:tc>
        <w:tc>
          <w:tcPr>
            <w:tcW w:type="dxa" w:w="3685"/>
            <w:tcBorders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sz w:val="28"/>
              </w:rPr>
              <w:t>Соловьев А. С.</w:t>
            </w:r>
          </w:p>
        </w:tc>
      </w:tr>
    </w:tbl>
    <w:p/>
    <w:p/>
    <w:p/>
    <w:p/>
    <w:p/>
    <w:p>
      <w:pPr>
        <w:jc w:val="center"/>
      </w:pPr>
      <w:r>
        <w:rPr>
          <w:rFonts w:ascii="Times New Roman" w:hAnsi="Times New Roman" w:eastAsia="Times New Roman"/>
          <w:sz w:val="28"/>
        </w:rPr>
        <w:t>2019</w:t>
      </w:r>
    </w:p>
    <w:p>
      <w:r>
        <w:br w:type="page"/>
      </w:r>
    </w:p>
    <w:p>
      <w:pPr>
        <w:pStyle w:val="Heading1"/>
        <w:jc w:val="left"/>
      </w:pPr>
      <w:r>
        <w:rPr>
          <w:rFonts w:ascii="Times New Roman" w:hAnsi="Times New Roman" w:eastAsia="Times New Roman"/>
          <w:b/>
          <w:sz w:val="32"/>
        </w:rPr>
        <w:t>1. Название и цель работы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/>
          <w:sz w:val="28"/>
        </w:rPr>
        <w:t>Название работы:</w:t>
      </w:r>
      <w:r>
        <w:rPr>
          <w:rFonts w:ascii="Times New Roman" w:hAnsi="Times New Roman" w:eastAsia="Times New Roman"/>
          <w:b w:val="0"/>
          <w:sz w:val="28"/>
        </w:rPr>
        <w:t xml:space="preserve"> «Анализ факторов, критериев и ограничений при принятии управленческих решений (на примере ОАО „Ирбитский мотоциклетный завод“)».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/>
          <w:sz w:val="28"/>
        </w:rPr>
        <w:t>Цель работы:</w:t>
      </w:r>
      <w:r>
        <w:rPr>
          <w:rFonts w:ascii="Times New Roman" w:hAnsi="Times New Roman" w:eastAsia="Times New Roman"/>
          <w:b w:val="0"/>
          <w:sz w:val="28"/>
        </w:rPr>
        <w:t xml:space="preserve"> развитие практических навыков самостоятельного анализа факторов, влияющих на принятие управленческого решения, определения критериев выбора и ограничений, а также построения взаимосвязанной системы решений применительно к описанной управленческой ситуации [1, с. 133–135, 169–170].</w:t>
      </w:r>
    </w:p>
    <w:p>
      <w:pPr>
        <w:pStyle w:val="Heading1"/>
        <w:jc w:val="left"/>
      </w:pPr>
      <w:r>
        <w:rPr>
          <w:rFonts w:ascii="Times New Roman" w:hAnsi="Times New Roman" w:eastAsia="Times New Roman"/>
          <w:b/>
          <w:sz w:val="32"/>
        </w:rPr>
        <w:t>2. Список исполнителей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Соловьев А. С., группа П-41.</w:t>
      </w:r>
    </w:p>
    <w:p>
      <w:pPr>
        <w:pStyle w:val="Heading1"/>
        <w:jc w:val="left"/>
      </w:pPr>
      <w:r>
        <w:rPr>
          <w:rFonts w:ascii="Times New Roman" w:hAnsi="Times New Roman" w:eastAsia="Times New Roman"/>
          <w:b/>
          <w:sz w:val="32"/>
        </w:rPr>
        <w:t>3. Вид и сфера деятельности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/>
          <w:sz w:val="28"/>
        </w:rPr>
        <w:t>Вид деятельности:</w:t>
      </w:r>
      <w:r>
        <w:rPr>
          <w:rFonts w:ascii="Times New Roman" w:hAnsi="Times New Roman" w:eastAsia="Times New Roman"/>
          <w:b w:val="0"/>
          <w:sz w:val="28"/>
        </w:rPr>
        <w:t xml:space="preserve"> производственная предпринимательская деятельность — разработка, изготовление и реализация мототехники.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/>
          <w:sz w:val="28"/>
        </w:rPr>
        <w:t>Сфера деятельности:</w:t>
      </w:r>
      <w:r>
        <w:rPr>
          <w:rFonts w:ascii="Times New Roman" w:hAnsi="Times New Roman" w:eastAsia="Times New Roman"/>
          <w:b w:val="0"/>
          <w:sz w:val="28"/>
        </w:rPr>
        <w:t xml:space="preserve"> машиностроение, в частности производство тяжелых мотоциклов (объем двигателя от 650 куб. см) и ранее — вездеходной техники. Рассматриваемая управленческая ситуация относится также к сфере стратегического продуктового и рыночного развития предприятия.</w:t>
      </w:r>
    </w:p>
    <w:p>
      <w:pPr>
        <w:pStyle w:val="Heading1"/>
        <w:jc w:val="left"/>
      </w:pPr>
      <w:r>
        <w:rPr>
          <w:rFonts w:ascii="Times New Roman" w:hAnsi="Times New Roman" w:eastAsia="Times New Roman"/>
          <w:b/>
          <w:sz w:val="32"/>
        </w:rPr>
        <w:t>4. Исходная ситуация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ОАО «Ирбитский мотоциклетный завод» (ИМЗ) специализировалось на выпуске тяжелых мотоциклов с коляской. В 1990 г. максимальный объем производства составил 130 тыс. мотоциклов. Основными покупателями являлись жители сельской местности и малых городов, использовавшие мотоциклы для перевозки людей и небольших грузов по плохим дорогам и бездорожью, а также для отдыха и хозяйственных поездок [1, с. 169].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1990-е гг. спрос со стороны традиционной группы потребителей резко сократился, а выпуск упал примерно до 2 тыс. мотоциклов. Предприятие, рассчитанное на значительно больший объем, оказалось далеко за точкой безубыточности и приблизилось к предбанкротному состоянию. Попытка одновременно осваивать несколько новых изделий — мотоциклы «Вояж» и «Кобра», вездеходы «Тайга», «Медведь» и «Егор» — проводилась при дефиците финансов. Из-за преждевременного вывода на рынок техники с конструктивными недостатками, не прошедшей необходимый цикл испытаний, имиджу предприятия был нанесен ущерб [1, с. 169].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1998 г. руководство признало традиционный российский рынок тяжелых мотоциклов как утилитарного транспорта неперспективным. Более привлекательным был определен сегмент тяжелых мотоциклов для развлечения. Предприятие переориентировалось на мотоциклы-одиночки, обеспечило выпуск моделей «Вояж» и «Волк», прекратило разработки вездеходов, начало сокращать избыточные производства и площади, развивать бренд «Урал — русский мотоцикл» и систему качества по стандартам ISO 9001 [1, с. 170].</w:t>
      </w:r>
    </w:p>
    <w:p>
      <w:pPr>
        <w:pStyle w:val="Heading1"/>
        <w:jc w:val="left"/>
      </w:pPr>
      <w:r>
        <w:rPr>
          <w:rFonts w:ascii="Times New Roman" w:hAnsi="Times New Roman" w:eastAsia="Times New Roman"/>
          <w:b/>
          <w:sz w:val="32"/>
        </w:rPr>
        <w:t>5. Выбор направления изменений методом исключения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Метод исключения предполагает последовательное отклонение альтернатив, которые не отвечают установленным критериям либо нарушают существенные ограничения. Для выбора используются следующие критерии:</w:t>
      </w:r>
    </w:p>
    <w:p>
      <w:pPr>
        <w:spacing w:line="360" w:lineRule="auto" w:after="0" w:before="0"/>
        <w:ind w:left="709" w:hanging="369"/>
        <w:jc w:val="both"/>
      </w:pPr>
      <w:r>
        <w:rPr>
          <w:rFonts w:ascii="Times New Roman" w:hAnsi="Times New Roman" w:eastAsia="Times New Roman"/>
          <w:b w:val="0"/>
          <w:sz w:val="28"/>
        </w:rPr>
        <w:t>1. наличие перспективного платежеспособного спроса;</w:t>
      </w:r>
    </w:p>
    <w:p>
      <w:pPr>
        <w:spacing w:line="360" w:lineRule="auto" w:after="0" w:before="0"/>
        <w:ind w:left="709" w:hanging="369"/>
        <w:jc w:val="both"/>
      </w:pPr>
      <w:r>
        <w:rPr>
          <w:rFonts w:ascii="Times New Roman" w:hAnsi="Times New Roman" w:eastAsia="Times New Roman"/>
          <w:b w:val="0"/>
          <w:sz w:val="28"/>
        </w:rPr>
        <w:t>2. соответствие компетенциям и бренду ИМЗ;</w:t>
      </w:r>
    </w:p>
    <w:p>
      <w:pPr>
        <w:spacing w:line="360" w:lineRule="auto" w:after="0" w:before="0"/>
        <w:ind w:left="709" w:hanging="369"/>
        <w:jc w:val="both"/>
      </w:pPr>
      <w:r>
        <w:rPr>
          <w:rFonts w:ascii="Times New Roman" w:hAnsi="Times New Roman" w:eastAsia="Times New Roman"/>
          <w:b w:val="0"/>
          <w:sz w:val="28"/>
        </w:rPr>
        <w:t>3. экономическая целесообразность и возможность приблизиться к безубыточности;</w:t>
      </w:r>
    </w:p>
    <w:p>
      <w:pPr>
        <w:spacing w:line="360" w:lineRule="auto" w:after="0" w:before="0"/>
        <w:ind w:left="709" w:hanging="369"/>
        <w:jc w:val="both"/>
      </w:pPr>
      <w:r>
        <w:rPr>
          <w:rFonts w:ascii="Times New Roman" w:hAnsi="Times New Roman" w:eastAsia="Times New Roman"/>
          <w:b w:val="0"/>
          <w:sz w:val="28"/>
        </w:rPr>
        <w:t>4. допустимость требуемых вложений при дефиците финансов;</w:t>
      </w:r>
    </w:p>
    <w:p>
      <w:pPr>
        <w:spacing w:line="360" w:lineRule="auto" w:after="0" w:before="0"/>
        <w:ind w:left="709" w:hanging="369"/>
        <w:jc w:val="both"/>
      </w:pPr>
      <w:r>
        <w:rPr>
          <w:rFonts w:ascii="Times New Roman" w:hAnsi="Times New Roman" w:eastAsia="Times New Roman"/>
          <w:b w:val="0"/>
          <w:sz w:val="28"/>
        </w:rPr>
        <w:t>5. обеспечение качества, надежности и безопасности продукции;</w:t>
      </w:r>
    </w:p>
    <w:p>
      <w:pPr>
        <w:spacing w:line="360" w:lineRule="auto" w:after="0" w:before="0"/>
        <w:ind w:left="709" w:hanging="369"/>
        <w:jc w:val="both"/>
      </w:pPr>
      <w:r>
        <w:rPr>
          <w:rFonts w:ascii="Times New Roman" w:hAnsi="Times New Roman" w:eastAsia="Times New Roman"/>
          <w:b w:val="0"/>
          <w:sz w:val="28"/>
        </w:rPr>
        <w:t>6. управляемость технического, рыночного и репутационного риска;</w:t>
      </w:r>
    </w:p>
    <w:p>
      <w:pPr>
        <w:spacing w:line="360" w:lineRule="auto" w:after="0" w:before="0"/>
        <w:ind w:left="709" w:hanging="369"/>
        <w:jc w:val="both"/>
      </w:pPr>
      <w:r>
        <w:rPr>
          <w:rFonts w:ascii="Times New Roman" w:hAnsi="Times New Roman" w:eastAsia="Times New Roman"/>
          <w:b w:val="0"/>
          <w:sz w:val="28"/>
        </w:rPr>
        <w:t>7. положительный долгосрочный, технический и социальный эффект.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rPr>
          <w:cantSplit/>
          <w:tblHeader w:val="true"/>
        </w:trPr>
        <w:tc>
          <w:tcPr>
            <w:tcW w:type="dxa" w:w="323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D9E2F3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1"/>
              </w:rPr>
              <w:t>Направление</w:t>
            </w:r>
          </w:p>
        </w:tc>
        <w:tc>
          <w:tcPr>
            <w:tcW w:type="dxa" w:w="323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D9E2F3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1"/>
              </w:rPr>
              <w:t>Решение</w:t>
            </w:r>
          </w:p>
        </w:tc>
        <w:tc>
          <w:tcPr>
            <w:tcW w:type="dxa" w:w="323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D9E2F3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1"/>
              </w:rPr>
              <w:t>Лаконичная аргументация</w:t>
            </w:r>
          </w:p>
        </w:tc>
      </w:tr>
      <w:tr>
        <w:trPr>
          <w:cantSplit/>
        </w:trPr>
        <w:tc>
          <w:tcPr>
            <w:tcW w:type="dxa" w:w="323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1"/>
              </w:rPr>
              <w:t>1. Расширение номенклатуры производства</w:t>
            </w:r>
          </w:p>
        </w:tc>
        <w:tc>
          <w:tcPr>
            <w:tcW w:type="dxa" w:w="323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21"/>
              </w:rPr>
              <w:t>Отклонить</w:t>
            </w:r>
          </w:p>
        </w:tc>
        <w:tc>
          <w:tcPr>
            <w:tcW w:type="dxa" w:w="323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1"/>
              </w:rPr>
              <w:t>Одновременная разработка нескольких мотоциклов и вездеходов уже распылила дефицитные ресурсы. Поспешный выпуск недоработанных изделий нанес ущерб репутации. Расширение номенклатуры до стабилизации качества и финансов увеличит сложность и риск.</w:t>
            </w:r>
          </w:p>
        </w:tc>
      </w:tr>
      <w:tr>
        <w:trPr>
          <w:cantSplit/>
        </w:trPr>
        <w:tc>
          <w:tcPr>
            <w:tcW w:type="dxa" w:w="323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1"/>
              </w:rPr>
              <w:t>2. Увеличение объемов производства</w:t>
            </w:r>
          </w:p>
        </w:tc>
        <w:tc>
          <w:tcPr>
            <w:tcW w:type="dxa" w:w="323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21"/>
              </w:rPr>
              <w:t>Отклонить на данном этапе</w:t>
            </w:r>
          </w:p>
        </w:tc>
        <w:tc>
          <w:tcPr>
            <w:tcW w:type="dxa" w:w="323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1"/>
              </w:rPr>
              <w:t>Спрос на традиционные мотоциклы с коляской резко снизился. Рост выпуска без подтвержденного спроса приведет к запасам непроданной продукции, дополнительным затратам и увеличению убытков. Масштабирование возможно лишь после проверки спроса и качества новой модели.</w:t>
            </w:r>
          </w:p>
        </w:tc>
      </w:tr>
      <w:tr>
        <w:trPr>
          <w:cantSplit/>
        </w:trPr>
        <w:tc>
          <w:tcPr>
            <w:tcW w:type="dxa" w:w="323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1"/>
              </w:rPr>
              <w:t>3. Инвестирование в новую технику и сферу</w:t>
            </w:r>
          </w:p>
        </w:tc>
        <w:tc>
          <w:tcPr>
            <w:tcW w:type="dxa" w:w="323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21"/>
              </w:rPr>
              <w:t>Принять</w:t>
            </w:r>
          </w:p>
        </w:tc>
        <w:tc>
          <w:tcPr>
            <w:tcW w:type="dxa" w:w="323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1"/>
              </w:rPr>
              <w:t>Переход к тяжелым мотоциклам-одиночкам для обеспеченных покупателей и байкеров выводит ИМЗ в более перспективный досуговый сегмент, сохраняя связь с его инженерными компетенциями и брендом. Инвестиции должны быть поэтапными и сопровождаться полным циклом разработки, испытаний и контролем экономических результатов.</w:t>
            </w:r>
          </w:p>
        </w:tc>
      </w:tr>
    </w:tbl>
    <w:p>
      <w:pPr>
        <w:spacing w:after="0"/>
      </w:pP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/>
          <w:sz w:val="28"/>
        </w:rPr>
        <w:t>Выбранное направление:</w:t>
      </w:r>
      <w:r>
        <w:rPr>
          <w:rFonts w:ascii="Times New Roman" w:hAnsi="Times New Roman" w:eastAsia="Times New Roman"/>
          <w:b w:val="0"/>
          <w:sz w:val="28"/>
        </w:rPr>
        <w:t xml:space="preserve"> поэтапное инвестирование в разработку и производство качественного тяжелого мотоцикла-одиночки и в освоение новой для ИМЗ рыночной сферы — мотоциклов для досуга и развлечения.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Это не означает безусловного финансирования любого нового изделия. Решение принимается при условии концентрации ресурсов на ограниченном числе моделей, подтверждения спроса, завершения испытаний и соблюдения финансовых лимитов.</w:t>
      </w:r>
    </w:p>
    <w:p>
      <w:pPr>
        <w:pStyle w:val="Heading1"/>
        <w:jc w:val="left"/>
      </w:pPr>
      <w:r>
        <w:rPr>
          <w:rFonts w:ascii="Times New Roman" w:hAnsi="Times New Roman" w:eastAsia="Times New Roman"/>
          <w:b/>
          <w:sz w:val="32"/>
        </w:rPr>
        <w:t>6. Критерии и ограничения решения</w:t>
      </w:r>
    </w:p>
    <w:p>
      <w:pPr>
        <w:pStyle w:val="Heading2"/>
      </w:pPr>
      <w:r>
        <w:rPr>
          <w:rFonts w:ascii="Times New Roman" w:hAnsi="Times New Roman" w:eastAsia="Times New Roman"/>
          <w:b/>
          <w:sz w:val="30"/>
        </w:rPr>
        <w:t>6.1. Критерии приемлемости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4"/>
        <w:gridCol w:w="4844"/>
      </w:tblGrid>
      <w:tr>
        <w:trPr>
          <w:cantSplit/>
          <w:tblHeader w:val="true"/>
        </w:trPr>
        <w:tc>
          <w:tcPr>
            <w:tcW w:type="dxa" w:w="484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D9E2F3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1"/>
              </w:rPr>
              <w:t>Критерий</w:t>
            </w:r>
          </w:p>
        </w:tc>
        <w:tc>
          <w:tcPr>
            <w:tcW w:type="dxa" w:w="484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D9E2F3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1"/>
              </w:rPr>
              <w:t>Признак приемлемого решения</w:t>
            </w:r>
          </w:p>
        </w:tc>
      </w:tr>
      <w:tr>
        <w:trPr>
          <w:cantSplit/>
        </w:trPr>
        <w:tc>
          <w:tcPr>
            <w:tcW w:type="dxa" w:w="484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1"/>
              </w:rPr>
              <w:t>Рыночная перспективность</w:t>
            </w:r>
          </w:p>
        </w:tc>
        <w:tc>
          <w:tcPr>
            <w:tcW w:type="dxa" w:w="484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1"/>
              </w:rPr>
              <w:t>Подтвержден интерес платежеспособных покупателей и байкерского сообщества; определена емкость целевого сегмента.</w:t>
            </w:r>
          </w:p>
        </w:tc>
      </w:tr>
      <w:tr>
        <w:trPr>
          <w:cantSplit/>
        </w:trPr>
        <w:tc>
          <w:tcPr>
            <w:tcW w:type="dxa" w:w="484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1"/>
              </w:rPr>
              <w:t>Качество и безопасность</w:t>
            </w:r>
          </w:p>
        </w:tc>
        <w:tc>
          <w:tcPr>
            <w:tcW w:type="dxa" w:w="484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1"/>
              </w:rPr>
              <w:t>Прототип прошел полный цикл конструкторских проверок, дорожных испытаний и обязательных процедур допуска.</w:t>
            </w:r>
          </w:p>
        </w:tc>
      </w:tr>
      <w:tr>
        <w:trPr>
          <w:cantSplit/>
        </w:trPr>
        <w:tc>
          <w:tcPr>
            <w:tcW w:type="dxa" w:w="484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1"/>
              </w:rPr>
              <w:t>Экономическая эффективность</w:t>
            </w:r>
          </w:p>
        </w:tc>
        <w:tc>
          <w:tcPr>
            <w:tcW w:type="dxa" w:w="484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1"/>
              </w:rPr>
              <w:t>Расчетная цена и маржинальный доход покрывают переменные затраты и в перспективе дают вклад в покрытие постоянных расходов.</w:t>
            </w:r>
          </w:p>
        </w:tc>
      </w:tr>
      <w:tr>
        <w:trPr>
          <w:cantSplit/>
        </w:trPr>
        <w:tc>
          <w:tcPr>
            <w:tcW w:type="dxa" w:w="484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1"/>
              </w:rPr>
              <w:t>Финансовая реализуемость</w:t>
            </w:r>
          </w:p>
        </w:tc>
        <w:tc>
          <w:tcPr>
            <w:tcW w:type="dxa" w:w="484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1"/>
              </w:rPr>
              <w:t>Каждый этап укладывается в утвержденный лимит; следующий этап финансируется только после достижения контрольных показателей.</w:t>
            </w:r>
          </w:p>
        </w:tc>
      </w:tr>
      <w:tr>
        <w:trPr>
          <w:cantSplit/>
        </w:trPr>
        <w:tc>
          <w:tcPr>
            <w:tcW w:type="dxa" w:w="484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1"/>
              </w:rPr>
              <w:t>Техническая осуществимость</w:t>
            </w:r>
          </w:p>
        </w:tc>
        <w:tc>
          <w:tcPr>
            <w:tcW w:type="dxa" w:w="484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1"/>
              </w:rPr>
              <w:t>Завод располагает ключевыми компетенциями либо может привлечь необходимых поставщиков и специалистов.</w:t>
            </w:r>
          </w:p>
        </w:tc>
      </w:tr>
      <w:tr>
        <w:trPr>
          <w:cantSplit/>
        </w:trPr>
        <w:tc>
          <w:tcPr>
            <w:tcW w:type="dxa" w:w="484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1"/>
              </w:rPr>
              <w:t>Стратегическое соответствие</w:t>
            </w:r>
          </w:p>
        </w:tc>
        <w:tc>
          <w:tcPr>
            <w:tcW w:type="dxa" w:w="484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1"/>
              </w:rPr>
              <w:t>Новая модель укрепляет специализацию на тяжелых мотоциклах и бренд «Урал», а не распыляет ресурсы на несвязанные продукты.</w:t>
            </w:r>
          </w:p>
        </w:tc>
      </w:tr>
      <w:tr>
        <w:trPr>
          <w:cantSplit/>
        </w:trPr>
        <w:tc>
          <w:tcPr>
            <w:tcW w:type="dxa" w:w="484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1"/>
              </w:rPr>
              <w:t>Социальная приемлемость</w:t>
            </w:r>
          </w:p>
        </w:tc>
        <w:tc>
          <w:tcPr>
            <w:tcW w:type="dxa" w:w="484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1"/>
              </w:rPr>
              <w:t>Сохраняются ключевые компетенции и занятость в жизнеспособной части производства; при реорганизации предусмотрены обучение и корректная работа с персоналом.</w:t>
            </w:r>
          </w:p>
        </w:tc>
      </w:tr>
      <w:tr>
        <w:trPr>
          <w:cantSplit/>
        </w:trPr>
        <w:tc>
          <w:tcPr>
            <w:tcW w:type="dxa" w:w="484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1"/>
              </w:rPr>
              <w:t>Допустимый риск</w:t>
            </w:r>
          </w:p>
        </w:tc>
        <w:tc>
          <w:tcPr>
            <w:tcW w:type="dxa" w:w="484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1"/>
              </w:rPr>
              <w:t>Основные риски выявлены, назначены ответственные и предусмотрены испытания, пилотная партия, резерв и условия остановки проекта.</w:t>
            </w:r>
          </w:p>
        </w:tc>
      </w:tr>
    </w:tbl>
    <w:p>
      <w:pPr>
        <w:spacing w:after="0"/>
      </w:pPr>
    </w:p>
    <w:p>
      <w:pPr>
        <w:pStyle w:val="Heading2"/>
      </w:pPr>
      <w:r>
        <w:rPr>
          <w:rFonts w:ascii="Times New Roman" w:hAnsi="Times New Roman" w:eastAsia="Times New Roman"/>
          <w:b/>
          <w:sz w:val="30"/>
        </w:rPr>
        <w:t>6.2. Существенные ограничения</w:t>
      </w:r>
    </w:p>
    <w:p>
      <w:pPr>
        <w:spacing w:line="360" w:lineRule="auto" w:after="0" w:before="0"/>
        <w:ind w:left="709" w:hanging="369"/>
        <w:jc w:val="both"/>
      </w:pPr>
      <w:r>
        <w:rPr>
          <w:rFonts w:ascii="Times New Roman" w:hAnsi="Times New Roman" w:eastAsia="Times New Roman"/>
          <w:b w:val="0"/>
          <w:sz w:val="28"/>
        </w:rPr>
        <w:t xml:space="preserve">1. </w:t>
      </w:r>
      <w:r>
        <w:rPr>
          <w:rFonts w:ascii="Times New Roman" w:hAnsi="Times New Roman" w:eastAsia="Times New Roman"/>
          <w:b/>
          <w:sz w:val="28"/>
        </w:rPr>
        <w:t>Финансовое:</w:t>
      </w:r>
      <w:r>
        <w:rPr>
          <w:rFonts w:ascii="Times New Roman" w:hAnsi="Times New Roman" w:eastAsia="Times New Roman"/>
          <w:b w:val="0"/>
          <w:sz w:val="28"/>
        </w:rPr>
        <w:t xml:space="preserve"> дефицит собственных средств и предбанкротное состояние не допускают одновременного финансирования большого числа проектов.</w:t>
      </w:r>
    </w:p>
    <w:p>
      <w:pPr>
        <w:spacing w:line="360" w:lineRule="auto" w:after="0" w:before="0"/>
        <w:ind w:left="709" w:hanging="369"/>
        <w:jc w:val="both"/>
      </w:pPr>
      <w:r>
        <w:rPr>
          <w:rFonts w:ascii="Times New Roman" w:hAnsi="Times New Roman" w:eastAsia="Times New Roman"/>
          <w:b w:val="0"/>
          <w:sz w:val="28"/>
        </w:rPr>
        <w:t xml:space="preserve">2. </w:t>
      </w:r>
      <w:r>
        <w:rPr>
          <w:rFonts w:ascii="Times New Roman" w:hAnsi="Times New Roman" w:eastAsia="Times New Roman"/>
          <w:b/>
          <w:sz w:val="28"/>
        </w:rPr>
        <w:t>Рыночное:</w:t>
      </w:r>
      <w:r>
        <w:rPr>
          <w:rFonts w:ascii="Times New Roman" w:hAnsi="Times New Roman" w:eastAsia="Times New Roman"/>
          <w:b w:val="0"/>
          <w:sz w:val="28"/>
        </w:rPr>
        <w:t xml:space="preserve"> спрос на прежний утилитарный мотоцикл с коляской существенно сократился; нельзя считать прежний объем продаж достижимым.</w:t>
      </w:r>
    </w:p>
    <w:p>
      <w:pPr>
        <w:spacing w:line="360" w:lineRule="auto" w:after="0" w:before="0"/>
        <w:ind w:left="709" w:hanging="369"/>
        <w:jc w:val="both"/>
      </w:pPr>
      <w:r>
        <w:rPr>
          <w:rFonts w:ascii="Times New Roman" w:hAnsi="Times New Roman" w:eastAsia="Times New Roman"/>
          <w:b w:val="0"/>
          <w:sz w:val="28"/>
        </w:rPr>
        <w:t xml:space="preserve">3. </w:t>
      </w:r>
      <w:r>
        <w:rPr>
          <w:rFonts w:ascii="Times New Roman" w:hAnsi="Times New Roman" w:eastAsia="Times New Roman"/>
          <w:b/>
          <w:sz w:val="28"/>
        </w:rPr>
        <w:t>Информационное:</w:t>
      </w:r>
      <w:r>
        <w:rPr>
          <w:rFonts w:ascii="Times New Roman" w:hAnsi="Times New Roman" w:eastAsia="Times New Roman"/>
          <w:b w:val="0"/>
          <w:sz w:val="28"/>
        </w:rPr>
        <w:t xml:space="preserve"> отсутствует полная достоверная информация о емкости нового сегмента, цене спроса и реакции конкурентов.</w:t>
      </w:r>
    </w:p>
    <w:p>
      <w:pPr>
        <w:spacing w:line="360" w:lineRule="auto" w:after="0" w:before="0"/>
        <w:ind w:left="709" w:hanging="369"/>
        <w:jc w:val="both"/>
      </w:pPr>
      <w:r>
        <w:rPr>
          <w:rFonts w:ascii="Times New Roman" w:hAnsi="Times New Roman" w:eastAsia="Times New Roman"/>
          <w:b w:val="0"/>
          <w:sz w:val="28"/>
        </w:rPr>
        <w:t xml:space="preserve">4. </w:t>
      </w:r>
      <w:r>
        <w:rPr>
          <w:rFonts w:ascii="Times New Roman" w:hAnsi="Times New Roman" w:eastAsia="Times New Roman"/>
          <w:b/>
          <w:sz w:val="28"/>
        </w:rPr>
        <w:t>Техническое:</w:t>
      </w:r>
      <w:r>
        <w:rPr>
          <w:rFonts w:ascii="Times New Roman" w:hAnsi="Times New Roman" w:eastAsia="Times New Roman"/>
          <w:b w:val="0"/>
          <w:sz w:val="28"/>
        </w:rPr>
        <w:t xml:space="preserve"> вывод изделия на рынок допустим только после устранения конструктивных недостатков и полного цикла испытаний.</w:t>
      </w:r>
    </w:p>
    <w:p>
      <w:pPr>
        <w:spacing w:line="360" w:lineRule="auto" w:after="0" w:before="0"/>
        <w:ind w:left="709" w:hanging="369"/>
        <w:jc w:val="both"/>
      </w:pPr>
      <w:r>
        <w:rPr>
          <w:rFonts w:ascii="Times New Roman" w:hAnsi="Times New Roman" w:eastAsia="Times New Roman"/>
          <w:b w:val="0"/>
          <w:sz w:val="28"/>
        </w:rPr>
        <w:t xml:space="preserve">5. </w:t>
      </w:r>
      <w:r>
        <w:rPr>
          <w:rFonts w:ascii="Times New Roman" w:hAnsi="Times New Roman" w:eastAsia="Times New Roman"/>
          <w:b/>
          <w:sz w:val="28"/>
        </w:rPr>
        <w:t>Производственное:</w:t>
      </w:r>
      <w:r>
        <w:rPr>
          <w:rFonts w:ascii="Times New Roman" w:hAnsi="Times New Roman" w:eastAsia="Times New Roman"/>
          <w:b w:val="0"/>
          <w:sz w:val="28"/>
        </w:rPr>
        <w:t xml:space="preserve"> структура и площади предприятия рассчитаны на массовый выпуск старой продукции и создают чрезмерные постоянные расходы.</w:t>
      </w:r>
    </w:p>
    <w:p>
      <w:pPr>
        <w:spacing w:line="360" w:lineRule="auto" w:after="0" w:before="0"/>
        <w:ind w:left="709" w:hanging="369"/>
        <w:jc w:val="both"/>
      </w:pPr>
      <w:r>
        <w:rPr>
          <w:rFonts w:ascii="Times New Roman" w:hAnsi="Times New Roman" w:eastAsia="Times New Roman"/>
          <w:b w:val="0"/>
          <w:sz w:val="28"/>
        </w:rPr>
        <w:t xml:space="preserve">6. </w:t>
      </w:r>
      <w:r>
        <w:rPr>
          <w:rFonts w:ascii="Times New Roman" w:hAnsi="Times New Roman" w:eastAsia="Times New Roman"/>
          <w:b/>
          <w:sz w:val="28"/>
        </w:rPr>
        <w:t>Репутационное:</w:t>
      </w:r>
      <w:r>
        <w:rPr>
          <w:rFonts w:ascii="Times New Roman" w:hAnsi="Times New Roman" w:eastAsia="Times New Roman"/>
          <w:b w:val="0"/>
          <w:sz w:val="28"/>
        </w:rPr>
        <w:t xml:space="preserve"> повторный выпуск недоработанной техники способен окончательно снизить доверие покупателей и дилеров.</w:t>
      </w:r>
    </w:p>
    <w:p>
      <w:pPr>
        <w:spacing w:line="360" w:lineRule="auto" w:after="0" w:before="0"/>
        <w:ind w:left="709" w:hanging="369"/>
        <w:jc w:val="both"/>
      </w:pPr>
      <w:r>
        <w:rPr>
          <w:rFonts w:ascii="Times New Roman" w:hAnsi="Times New Roman" w:eastAsia="Times New Roman"/>
          <w:b w:val="0"/>
          <w:sz w:val="28"/>
        </w:rPr>
        <w:t xml:space="preserve">7. </w:t>
      </w:r>
      <w:r>
        <w:rPr>
          <w:rFonts w:ascii="Times New Roman" w:hAnsi="Times New Roman" w:eastAsia="Times New Roman"/>
          <w:b/>
          <w:sz w:val="28"/>
        </w:rPr>
        <w:t>Кадровое и временное:</w:t>
      </w:r>
      <w:r>
        <w:rPr>
          <w:rFonts w:ascii="Times New Roman" w:hAnsi="Times New Roman" w:eastAsia="Times New Roman"/>
          <w:b w:val="0"/>
          <w:sz w:val="28"/>
        </w:rPr>
        <w:t xml:space="preserve"> число квалифицированных конструкторов, технологов, испытателей и управленцев, а также продолжительность разработки ограничены.</w:t>
      </w:r>
    </w:p>
    <w:p>
      <w:pPr>
        <w:spacing w:line="360" w:lineRule="auto" w:after="0" w:before="0"/>
        <w:ind w:left="709" w:hanging="369"/>
        <w:jc w:val="both"/>
      </w:pPr>
      <w:r>
        <w:rPr>
          <w:rFonts w:ascii="Times New Roman" w:hAnsi="Times New Roman" w:eastAsia="Times New Roman"/>
          <w:b w:val="0"/>
          <w:sz w:val="28"/>
        </w:rPr>
        <w:t xml:space="preserve">8. </w:t>
      </w:r>
      <w:r>
        <w:rPr>
          <w:rFonts w:ascii="Times New Roman" w:hAnsi="Times New Roman" w:eastAsia="Times New Roman"/>
          <w:b/>
          <w:sz w:val="28"/>
        </w:rPr>
        <w:t>Социальное:</w:t>
      </w:r>
      <w:r>
        <w:rPr>
          <w:rFonts w:ascii="Times New Roman" w:hAnsi="Times New Roman" w:eastAsia="Times New Roman"/>
          <w:b w:val="0"/>
          <w:sz w:val="28"/>
        </w:rPr>
        <w:t xml:space="preserve"> сокращение непрофильных производств и площадей необходимо проводить с учетом занятости, безопасности труда и сохранения критических компетенций.</w:t>
      </w:r>
    </w:p>
    <w:p>
      <w:pPr>
        <w:pStyle w:val="Heading1"/>
        <w:jc w:val="left"/>
      </w:pPr>
      <w:r>
        <w:rPr>
          <w:rFonts w:ascii="Times New Roman" w:hAnsi="Times New Roman" w:eastAsia="Times New Roman"/>
          <w:b/>
          <w:sz w:val="32"/>
        </w:rPr>
        <w:t>7. Анализ факторов, влияющих на принятие управленческого решения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Перечень факторов принят по учебному пособию [1, с. 133–135].</w:t>
      </w:r>
    </w:p>
    <w:p>
      <w:pPr>
        <w:pStyle w:val="Heading2"/>
      </w:pPr>
      <w:r>
        <w:rPr>
          <w:rFonts w:ascii="Times New Roman" w:hAnsi="Times New Roman" w:eastAsia="Times New Roman"/>
          <w:b/>
          <w:sz w:val="30"/>
        </w:rPr>
        <w:t>7.1. Личностные оценки руководителя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Руководитель интерпретирует информацию через собственные ценности, опыт и отношение к риску. Новая команда ИМЗ оценила старый рынок как неперспективный, а досуговый сегмент — как привлекательный. Такая предпринимательская оценка необходима для выхода из кризиса, однако прошлый опыт неоправданной спешки показывает опасность избыточного оптимизма. Поэтому личная оценка должна проверяться исследованиями рынка, независимой технической экспертизой и установленными контрольными точками проекта.</w:t>
      </w:r>
    </w:p>
    <w:p>
      <w:pPr>
        <w:pStyle w:val="Heading2"/>
      </w:pPr>
      <w:r>
        <w:rPr>
          <w:rFonts w:ascii="Times New Roman" w:hAnsi="Times New Roman" w:eastAsia="Times New Roman"/>
          <w:b/>
          <w:sz w:val="30"/>
        </w:rPr>
        <w:t>7.2. Среда принятия решения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 xml:space="preserve">Решение принимается преимущественно в условиях </w:t>
      </w:r>
      <w:r>
        <w:rPr>
          <w:rFonts w:ascii="Times New Roman" w:hAnsi="Times New Roman" w:eastAsia="Times New Roman"/>
          <w:b/>
          <w:sz w:val="28"/>
        </w:rPr>
        <w:t>информационной неопределенности</w:t>
      </w:r>
      <w:r>
        <w:rPr>
          <w:rFonts w:ascii="Times New Roman" w:hAnsi="Times New Roman" w:eastAsia="Times New Roman"/>
          <w:b w:val="0"/>
          <w:sz w:val="28"/>
        </w:rPr>
        <w:t>. Достоверно известны падение традиционного спроса, низкая загрузка мощностей, дефицит финансов и наличие репутационного ущерба. При этом нельзя точно предсказать объем нового сегмента, готовность покупателей платить, сроки разработки и реакцию конкурентов. Следовательно, единовременное крупное вложение недопустимо: необходимы прототип, исследование спроса, пилотная партия и последовательное уточнение решения по результатам каждого этапа.</w:t>
      </w:r>
    </w:p>
    <w:p>
      <w:pPr>
        <w:pStyle w:val="Heading2"/>
      </w:pPr>
      <w:r>
        <w:rPr>
          <w:rFonts w:ascii="Times New Roman" w:hAnsi="Times New Roman" w:eastAsia="Times New Roman"/>
          <w:b/>
          <w:sz w:val="30"/>
        </w:rPr>
        <w:t>7.3. Культурные различия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ситуации отмечено влияние климата, плотности населения, национальных производителей, мотоциклетных традиций и склонности общества к определенному стилю езды на структуру спроса [1, с. 170]. Поэтому выводы по зарубежным рынкам нельзя механически переносить в Россию. Одновременно российское происхождение может стать отличительным преимуществом, что поддерживает позиционирование «Урал — русский мотоцикл».</w:t>
      </w:r>
    </w:p>
    <w:p>
      <w:pPr>
        <w:pStyle w:val="Heading2"/>
      </w:pPr>
      <w:r>
        <w:rPr>
          <w:rFonts w:ascii="Times New Roman" w:hAnsi="Times New Roman" w:eastAsia="Times New Roman"/>
          <w:b/>
          <w:sz w:val="30"/>
        </w:rPr>
        <w:t>7.4. Информационные ограничения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Получение полной информации требует времени и денег, которых у ИМЗ недостаточно. Необходим разумно достаточный набор данных: интервью с потенциальными покупателями и дилерами, анализ цен и конкурентов, стоимость разработки и производства, результаты испытаний, предварительные заказы. Затраты на дополнительную информацию оправданы до тех пор, пока ожидаемая польза от снижения ошибки выбора не становится меньше расходов на ее получение.</w:t>
      </w:r>
    </w:p>
    <w:p>
      <w:pPr>
        <w:pStyle w:val="Heading2"/>
      </w:pPr>
      <w:r>
        <w:rPr>
          <w:rFonts w:ascii="Times New Roman" w:hAnsi="Times New Roman" w:eastAsia="Times New Roman"/>
          <w:b/>
          <w:sz w:val="30"/>
        </w:rPr>
        <w:t>7.5. Поведенческие ограничения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Участники решения могут по-разному понимать проблему и защищать интересы своих подразделений. Конструкторы заинтересованы в техническом совершенстве, сбыт — в быстром выводе модели, производство — в загрузке мощностей, финансовая служба — в минимизации расходов. Также возможны приверженность прежней продукции и стремление скрыть недостатки проекта. Ограничить влияние этих факторов позволяют единые критерии, межфункциональная проектная группа, документирование результатов испытаний и персональная ответственность за этапы.</w:t>
      </w:r>
    </w:p>
    <w:p>
      <w:pPr>
        <w:pStyle w:val="Heading2"/>
      </w:pPr>
      <w:r>
        <w:rPr>
          <w:rFonts w:ascii="Times New Roman" w:hAnsi="Times New Roman" w:eastAsia="Times New Roman"/>
          <w:b/>
          <w:sz w:val="30"/>
        </w:rPr>
        <w:t>7.6. Взаимосвязь решений: дерево решений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 xml:space="preserve">Главное решение соответствует ранее выбранному направлению: </w:t>
      </w:r>
      <w:r>
        <w:rPr>
          <w:rFonts w:ascii="Times New Roman" w:hAnsi="Times New Roman" w:eastAsia="Times New Roman"/>
          <w:b/>
          <w:sz w:val="28"/>
        </w:rPr>
        <w:t>инвестировать в новую технику и освоение досугового сегмента тяжелых мотоциклов</w:t>
      </w:r>
      <w:r>
        <w:rPr>
          <w:rFonts w:ascii="Times New Roman" w:hAnsi="Times New Roman" w:eastAsia="Times New Roman"/>
          <w:b w:val="0"/>
          <w:sz w:val="28"/>
        </w:rPr>
        <w:t>. Оно не может быть реализовано изолированно и декомпозируется следующим образом.</w:t>
      </w:r>
    </w:p>
    <w:p>
      <w:pPr>
        <w:keepLines/>
        <w:jc w:val="center"/>
      </w:pPr>
      <w:r>
        <w:drawing>
          <wp:inline xmlns:a="http://schemas.openxmlformats.org/drawingml/2006/main" xmlns:pic="http://schemas.openxmlformats.org/drawingml/2006/picture">
            <wp:extent cx="5806440" cy="79178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cision-tre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79178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Times New Roman" w:hAnsi="Times New Roman" w:eastAsia="Times New Roman"/>
          <w:i/>
          <w:sz w:val="24"/>
        </w:rPr>
        <w:t>Рисунок 1 — Дерево решений по выбранному направлению изменений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Ветви взаимозависимы: например, массовый запуск до завершения испытаний повторит прежнюю ошибку, а сохранение избыточной производственной структуры повысит точку безубыточности и потребность в финансировании. Масштабирование является не исходным действием, а последующим решением после подтверждения качества и спроса.</w:t>
      </w:r>
    </w:p>
    <w:p>
      <w:pPr>
        <w:pStyle w:val="Heading2"/>
      </w:pPr>
      <w:r>
        <w:rPr>
          <w:rFonts w:ascii="Times New Roman" w:hAnsi="Times New Roman" w:eastAsia="Times New Roman"/>
          <w:b/>
          <w:sz w:val="30"/>
        </w:rPr>
        <w:t>7.7. Фактор сложности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Решение охватывает маркетинговую, конструкторскую, технологическую, производственную, финансовую, кадровую и сбытовую сферы. Чем больше подразделений и работников вовлечено, тем выше стоимость координации и вероятность задержек. Сложность следует уменьшить концентрацией на одной продуктовой платформе, назначением руководителя проекта, разделением работ на этапы и единым графиком контрольных точек.</w:t>
      </w:r>
    </w:p>
    <w:p>
      <w:pPr>
        <w:pStyle w:val="Heading2"/>
      </w:pPr>
      <w:r>
        <w:rPr>
          <w:rFonts w:ascii="Times New Roman" w:hAnsi="Times New Roman" w:eastAsia="Times New Roman"/>
          <w:b/>
          <w:sz w:val="30"/>
        </w:rPr>
        <w:t>7.8. Перспективность действия решения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Краткосрочное увеличение выпуска старой продукции не создает устойчивого будущего. Инвестиции в качественный мотоцикл-одиночку, систему качества и бренд формируют основу для долгосрочного присутствия в перспективном сегменте. Перспективность сохраняется только при регулярной проверке рыночных предпосылок: если пилотные продажи не подтверждают спрос, проект необходимо скорректировать или остановить.</w:t>
      </w:r>
    </w:p>
    <w:p>
      <w:pPr>
        <w:pStyle w:val="Heading2"/>
      </w:pPr>
      <w:r>
        <w:rPr>
          <w:rFonts w:ascii="Times New Roman" w:hAnsi="Times New Roman" w:eastAsia="Times New Roman"/>
          <w:b/>
          <w:sz w:val="30"/>
        </w:rPr>
        <w:t>7.9. Фактор финансовых вложений и их анализа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Радикальное обновление требует затрат на конструкторские работы, прототипы, испытания, технологическую подготовку, качество и продвижение. Для предприятия с недостатком финансов это один из главных ограничивающих факторов. Необходимо определить источники средств, этапные бюджеты, прогноз денежных потоков, точку безубыточности, допустимую долговую нагрузку и резерв. Заемное финансирование приемлемо только при способности обслуживать долг и без критической зависимости от кредиторов.</w:t>
      </w:r>
    </w:p>
    <w:p>
      <w:pPr>
        <w:pStyle w:val="Heading2"/>
      </w:pPr>
      <w:r>
        <w:rPr>
          <w:rFonts w:ascii="Times New Roman" w:hAnsi="Times New Roman" w:eastAsia="Times New Roman"/>
          <w:b/>
          <w:sz w:val="30"/>
        </w:rPr>
        <w:t>7.10. Экономическая целесообразность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Выбранный вариант должен давать ожидаемый экономический эффект, превышающий затраты. При отсутствии исходных числовых данных окончательный расчет невозможен, поэтому устанавливается правило: проект продолжается, если подтвержденная цена и ожидаемый объем продаж обеспечивают положительный маржинальный доход, а реалистичный прогноз показывает достижимость безубыточности в установленный срок. В расчет включаются не только разработка модели, но и испытания, гарантийное обслуживание, продвижение, перестройка производства и стоимость финансирования.</w:t>
      </w:r>
    </w:p>
    <w:p>
      <w:pPr>
        <w:pStyle w:val="Heading2"/>
      </w:pPr>
      <w:r>
        <w:rPr>
          <w:rFonts w:ascii="Times New Roman" w:hAnsi="Times New Roman" w:eastAsia="Times New Roman"/>
          <w:b/>
          <w:sz w:val="30"/>
        </w:rPr>
        <w:t>7.11. Учет экономического, социального, нравственно-этического и технического эффекта</w:t>
      </w:r>
    </w:p>
    <w:p>
      <w:pPr>
        <w:spacing w:line="360" w:lineRule="auto" w:after="0" w:before="0"/>
        <w:ind w:left="709" w:hanging="312"/>
        <w:jc w:val="both"/>
      </w:pPr>
      <w:r>
        <w:rPr>
          <w:rFonts w:ascii="Times New Roman" w:hAnsi="Times New Roman" w:eastAsia="Times New Roman"/>
          <w:b w:val="0"/>
          <w:sz w:val="28"/>
        </w:rPr>
        <w:t xml:space="preserve">• </w:t>
      </w:r>
      <w:r>
        <w:rPr>
          <w:rFonts w:ascii="Times New Roman" w:hAnsi="Times New Roman" w:eastAsia="Times New Roman"/>
          <w:b/>
          <w:sz w:val="28"/>
        </w:rPr>
        <w:t>Экономический эффект:</w:t>
      </w:r>
      <w:r>
        <w:rPr>
          <w:rFonts w:ascii="Times New Roman" w:hAnsi="Times New Roman" w:eastAsia="Times New Roman"/>
          <w:b w:val="0"/>
          <w:sz w:val="28"/>
        </w:rPr>
        <w:t xml:space="preserve"> рост выручки и маржинального дохода, снижение издержек избыточных площадей, уменьшение бартера и восстановление платежеспособности.</w:t>
      </w:r>
    </w:p>
    <w:p>
      <w:pPr>
        <w:spacing w:line="360" w:lineRule="auto" w:after="0" w:before="0"/>
        <w:ind w:left="709" w:hanging="312"/>
        <w:jc w:val="both"/>
      </w:pPr>
      <w:r>
        <w:rPr>
          <w:rFonts w:ascii="Times New Roman" w:hAnsi="Times New Roman" w:eastAsia="Times New Roman"/>
          <w:b w:val="0"/>
          <w:sz w:val="28"/>
        </w:rPr>
        <w:t xml:space="preserve">• </w:t>
      </w:r>
      <w:r>
        <w:rPr>
          <w:rFonts w:ascii="Times New Roman" w:hAnsi="Times New Roman" w:eastAsia="Times New Roman"/>
          <w:b/>
          <w:sz w:val="28"/>
        </w:rPr>
        <w:t>Социальный эффект:</w:t>
      </w:r>
      <w:r>
        <w:rPr>
          <w:rFonts w:ascii="Times New Roman" w:hAnsi="Times New Roman" w:eastAsia="Times New Roman"/>
          <w:b w:val="0"/>
          <w:sz w:val="28"/>
        </w:rPr>
        <w:t xml:space="preserve"> сохранение жизнеспособной части предприятия и ключевых рабочих мест, обучение персонала; возможное сокращение занятости является отрицательным эффектом и требует управляемых мер.</w:t>
      </w:r>
    </w:p>
    <w:p>
      <w:pPr>
        <w:spacing w:line="360" w:lineRule="auto" w:after="0" w:before="0"/>
        <w:ind w:left="709" w:hanging="312"/>
        <w:jc w:val="both"/>
      </w:pPr>
      <w:r>
        <w:rPr>
          <w:rFonts w:ascii="Times New Roman" w:hAnsi="Times New Roman" w:eastAsia="Times New Roman"/>
          <w:b w:val="0"/>
          <w:sz w:val="28"/>
        </w:rPr>
        <w:t xml:space="preserve">• </w:t>
      </w:r>
      <w:r>
        <w:rPr>
          <w:rFonts w:ascii="Times New Roman" w:hAnsi="Times New Roman" w:eastAsia="Times New Roman"/>
          <w:b/>
          <w:sz w:val="28"/>
        </w:rPr>
        <w:t>Нравственно-этический эффект:</w:t>
      </w:r>
      <w:r>
        <w:rPr>
          <w:rFonts w:ascii="Times New Roman" w:hAnsi="Times New Roman" w:eastAsia="Times New Roman"/>
          <w:b w:val="0"/>
          <w:sz w:val="28"/>
        </w:rPr>
        <w:t xml:space="preserve"> недопустимо продавать потребителю недостаточно испытанную и потенциально небезопасную технику; сведения о характеристиках и сроках должны быть достоверными.</w:t>
      </w:r>
    </w:p>
    <w:p>
      <w:pPr>
        <w:spacing w:line="360" w:lineRule="auto" w:after="0" w:before="0"/>
        <w:ind w:left="709" w:hanging="312"/>
        <w:jc w:val="both"/>
      </w:pPr>
      <w:r>
        <w:rPr>
          <w:rFonts w:ascii="Times New Roman" w:hAnsi="Times New Roman" w:eastAsia="Times New Roman"/>
          <w:b w:val="0"/>
          <w:sz w:val="28"/>
        </w:rPr>
        <w:t xml:space="preserve">• </w:t>
      </w:r>
      <w:r>
        <w:rPr>
          <w:rFonts w:ascii="Times New Roman" w:hAnsi="Times New Roman" w:eastAsia="Times New Roman"/>
          <w:b/>
          <w:sz w:val="28"/>
        </w:rPr>
        <w:t>Технический эффект:</w:t>
      </w:r>
      <w:r>
        <w:rPr>
          <w:rFonts w:ascii="Times New Roman" w:hAnsi="Times New Roman" w:eastAsia="Times New Roman"/>
          <w:b w:val="0"/>
          <w:sz w:val="28"/>
        </w:rPr>
        <w:t xml:space="preserve"> повышение надежности, формирование дисциплины разработки и испытаний, внедрение системы менеджмента качества.</w:t>
      </w:r>
    </w:p>
    <w:p>
      <w:pPr>
        <w:pStyle w:val="Heading2"/>
      </w:pPr>
      <w:r>
        <w:rPr>
          <w:rFonts w:ascii="Times New Roman" w:hAnsi="Times New Roman" w:eastAsia="Times New Roman"/>
          <w:b/>
          <w:sz w:val="30"/>
        </w:rPr>
        <w:t>7.12. Степень риска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Решение имеет высокий рыночный, технический, финансовый и репутационный риск. Основные способы снижения риска: исследование спроса; концентрация на ограниченном числе моделей; создание и испытание прототипа; пилотная партия; поэтапное финансирование; независимый контроль качества; резерв средств; заранее заданные показатели продолжения и остановки проекта. Полностью устранить риск невозможно, но его можно сделать наблюдаемым и ограниченным.</w:t>
      </w:r>
    </w:p>
    <w:p>
      <w:pPr>
        <w:pStyle w:val="Heading1"/>
        <w:jc w:val="left"/>
      </w:pPr>
      <w:r>
        <w:rPr>
          <w:rFonts w:ascii="Times New Roman" w:hAnsi="Times New Roman" w:eastAsia="Times New Roman"/>
          <w:b/>
          <w:sz w:val="32"/>
        </w:rPr>
        <w:t>8. Выводы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 xml:space="preserve">В словарном значении </w:t>
      </w:r>
      <w:r>
        <w:rPr>
          <w:rFonts w:ascii="Times New Roman" w:hAnsi="Times New Roman" w:eastAsia="Times New Roman"/>
          <w:b/>
          <w:sz w:val="28"/>
        </w:rPr>
        <w:t>вывод</w:t>
      </w:r>
      <w:r>
        <w:rPr>
          <w:rFonts w:ascii="Times New Roman" w:hAnsi="Times New Roman" w:eastAsia="Times New Roman"/>
          <w:b w:val="0"/>
          <w:sz w:val="28"/>
        </w:rPr>
        <w:t xml:space="preserve"> — это итог рассуждения или исследования [2]. На основании анализа ситуации сделаны следующие выводы.</w:t>
      </w:r>
    </w:p>
    <w:p>
      <w:pPr>
        <w:spacing w:line="360" w:lineRule="auto" w:after="0" w:before="0"/>
        <w:ind w:left="709" w:hanging="369"/>
        <w:jc w:val="both"/>
      </w:pPr>
      <w:r>
        <w:rPr>
          <w:rFonts w:ascii="Times New Roman" w:hAnsi="Times New Roman" w:eastAsia="Times New Roman"/>
          <w:b w:val="0"/>
          <w:sz w:val="28"/>
        </w:rPr>
        <w:t xml:space="preserve">1. Для ИМЗ наиболее обосновано направление </w:t>
      </w:r>
      <w:r>
        <w:rPr>
          <w:rFonts w:ascii="Times New Roman" w:hAnsi="Times New Roman" w:eastAsia="Times New Roman"/>
          <w:b/>
          <w:sz w:val="28"/>
        </w:rPr>
        <w:t>поэтапного инвестирования в новую технику и новую рыночную сферу</w:t>
      </w:r>
      <w:r>
        <w:rPr>
          <w:rFonts w:ascii="Times New Roman" w:hAnsi="Times New Roman" w:eastAsia="Times New Roman"/>
          <w:b w:val="0"/>
          <w:sz w:val="28"/>
        </w:rPr>
        <w:t xml:space="preserve"> — тяжелые мотоциклы-одиночки для досуга, обеспеченных покупателей и байкеров. Оно использует базовые компетенции предприятия и одновременно уводит его от сокращающегося традиционного рынка.</w:t>
      </w:r>
    </w:p>
    <w:p>
      <w:pPr>
        <w:spacing w:line="360" w:lineRule="auto" w:after="0" w:before="0"/>
        <w:ind w:left="709" w:hanging="369"/>
        <w:jc w:val="both"/>
      </w:pPr>
      <w:r>
        <w:rPr>
          <w:rFonts w:ascii="Times New Roman" w:hAnsi="Times New Roman" w:eastAsia="Times New Roman"/>
          <w:b w:val="0"/>
          <w:sz w:val="28"/>
        </w:rPr>
        <w:t>2. Расширение номенклатуры необходимо исключить, поскольку оно распыляет дефицитные ресурсы и увеличивает вероятность повторного выпуска недоработанных изделий. Немедленное увеличение объема также исключается из-за неподтвержденного спроса; масштабирование допустимо только после успешных испытаний и пилотных продаж.</w:t>
      </w:r>
    </w:p>
    <w:p>
      <w:pPr>
        <w:spacing w:line="360" w:lineRule="auto" w:after="0" w:before="0"/>
        <w:ind w:left="709" w:hanging="369"/>
        <w:jc w:val="both"/>
      </w:pPr>
      <w:r>
        <w:rPr>
          <w:rFonts w:ascii="Times New Roman" w:hAnsi="Times New Roman" w:eastAsia="Times New Roman"/>
          <w:b w:val="0"/>
          <w:sz w:val="28"/>
        </w:rPr>
        <w:t>3. Критическими факторами являются неопределенность нового рынка, дефицит информации и финансов, взаимосвязь продуктовых, производственных и коммерческих решений, высокая сложность и риск, а также необходимость учитывать не только экономические, но и социальные, нравственно-этические и технические последствия.</w:t>
      </w:r>
    </w:p>
    <w:p>
      <w:pPr>
        <w:spacing w:line="360" w:lineRule="auto" w:after="0" w:before="0"/>
        <w:ind w:left="709" w:hanging="369"/>
        <w:jc w:val="both"/>
      </w:pPr>
      <w:r>
        <w:rPr>
          <w:rFonts w:ascii="Times New Roman" w:hAnsi="Times New Roman" w:eastAsia="Times New Roman"/>
          <w:b w:val="0"/>
          <w:sz w:val="28"/>
        </w:rPr>
        <w:t>4. Решение приемлемо лишь при соблюдении ограничений: концентрация на небольшом числе моделей, полный цикл испытаний, поэтапный бюджет, сокращение избыточных постоянных затрат, независимый контроль качества и наличие критериев остановки проекта.</w:t>
      </w:r>
    </w:p>
    <w:p>
      <w:pPr>
        <w:spacing w:line="360" w:lineRule="auto" w:after="0" w:before="0"/>
        <w:ind w:left="709" w:hanging="369"/>
        <w:jc w:val="both"/>
      </w:pPr>
      <w:r>
        <w:rPr>
          <w:rFonts w:ascii="Times New Roman" w:hAnsi="Times New Roman" w:eastAsia="Times New Roman"/>
          <w:b w:val="0"/>
          <w:sz w:val="28"/>
        </w:rPr>
        <w:t>5. Дерево решений показывает, что инвестиционное направление требует согласованного набора подчиненных решений по продукту, целевому рынку, разработке, производству, финансированию и выводу на рынок. Ошибка хотя бы в одной критической ветви может обесценить главное решение.</w:t>
      </w:r>
    </w:p>
    <w:p>
      <w:pPr>
        <w:pStyle w:val="Heading1"/>
        <w:jc w:val="left"/>
      </w:pPr>
      <w:r>
        <w:rPr>
          <w:rFonts w:ascii="Times New Roman" w:hAnsi="Times New Roman" w:eastAsia="Times New Roman"/>
          <w:b/>
          <w:sz w:val="32"/>
        </w:rPr>
        <w:t>9. Список использованных источников</w:t>
      </w:r>
    </w:p>
    <w:p>
      <w:pPr>
        <w:spacing w:line="360" w:lineRule="auto" w:after="0" w:before="0"/>
        <w:ind w:left="709" w:hanging="369"/>
        <w:jc w:val="both"/>
      </w:pPr>
      <w:r>
        <w:rPr>
          <w:rFonts w:ascii="Times New Roman" w:hAnsi="Times New Roman" w:eastAsia="Times New Roman"/>
          <w:b w:val="0"/>
          <w:sz w:val="28"/>
        </w:rPr>
        <w:t>1. Лукычёва Л. И. Управление организацией: учебное пособие по специальности «Менеджмент организации» / Л. И. Лукычёва; под ред. Ю. П. Анискина. — 3-е изд., стер. — М.: Омега-Л, 2006. — 360 с. — ISBN 5-98119-986-5. — С. 133–135, 169–170.</w:t>
      </w:r>
    </w:p>
    <w:p>
      <w:pPr>
        <w:spacing w:line="360" w:lineRule="auto" w:after="0" w:before="0"/>
        <w:ind w:left="709" w:hanging="369"/>
        <w:jc w:val="both"/>
      </w:pPr>
      <w:r>
        <w:rPr>
          <w:rFonts w:ascii="Times New Roman" w:hAnsi="Times New Roman" w:eastAsia="Times New Roman"/>
          <w:b w:val="0"/>
          <w:sz w:val="28"/>
        </w:rPr>
        <w:t>2. Ожегов С. И., Шведова Н. Ю. Толковый словарь русского языка: 80 000 слов и фразеологических выражений. — 4-е изд., доп. — М.: Азбуковник, 1999. — 944 с.</w:t>
      </w:r>
    </w:p>
    <w:p>
      <w:r>
        <w:br w:type="page"/>
      </w:r>
    </w:p>
    <w:p>
      <w:pPr>
        <w:pStyle w:val="Heading1"/>
        <w:jc w:val="left"/>
      </w:pPr>
      <w:r>
        <w:rPr>
          <w:rFonts w:ascii="Times New Roman" w:hAnsi="Times New Roman" w:eastAsia="Times New Roman"/>
          <w:b/>
          <w:sz w:val="32"/>
        </w:rPr>
        <w:t>Приложение А. Краткий словарь терминов для защиты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/>
          <w:sz w:val="28"/>
        </w:rPr>
        <w:t>Фактор</w:t>
      </w:r>
      <w:r>
        <w:rPr>
          <w:rFonts w:ascii="Times New Roman" w:hAnsi="Times New Roman" w:eastAsia="Times New Roman"/>
          <w:b w:val="0"/>
          <w:sz w:val="28"/>
        </w:rPr>
        <w:t xml:space="preserve"> — причина, условие или обстоятельство, которое влияет на содержание, выбор либо результат решения.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/>
          <w:sz w:val="28"/>
        </w:rPr>
        <w:t>Критерий</w:t>
      </w:r>
      <w:r>
        <w:rPr>
          <w:rFonts w:ascii="Times New Roman" w:hAnsi="Times New Roman" w:eastAsia="Times New Roman"/>
          <w:b w:val="0"/>
          <w:sz w:val="28"/>
        </w:rPr>
        <w:t xml:space="preserve"> — признак или основание, по которому оцениваются и сопоставляются варианты решения.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/>
          <w:sz w:val="28"/>
        </w:rPr>
        <w:t>Ограничение</w:t>
      </w:r>
      <w:r>
        <w:rPr>
          <w:rFonts w:ascii="Times New Roman" w:hAnsi="Times New Roman" w:eastAsia="Times New Roman"/>
          <w:b w:val="0"/>
          <w:sz w:val="28"/>
        </w:rPr>
        <w:t xml:space="preserve"> — условие, задающее допустимые границы решения и исключающее неприемлемые варианты.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/>
          <w:sz w:val="28"/>
        </w:rPr>
        <w:t>Сфера деятельности</w:t>
      </w:r>
      <w:r>
        <w:rPr>
          <w:rFonts w:ascii="Times New Roman" w:hAnsi="Times New Roman" w:eastAsia="Times New Roman"/>
          <w:b w:val="0"/>
          <w:sz w:val="28"/>
        </w:rPr>
        <w:t xml:space="preserve"> — область общественной и хозяйственной деятельности, в пределах которой работает организация; для ИМЗ — машиностроение и производство мототехники.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/>
          <w:sz w:val="28"/>
        </w:rPr>
        <w:t>Информационная определенность</w:t>
      </w:r>
      <w:r>
        <w:rPr>
          <w:rFonts w:ascii="Times New Roman" w:hAnsi="Times New Roman" w:eastAsia="Times New Roman"/>
          <w:b w:val="0"/>
          <w:sz w:val="28"/>
        </w:rPr>
        <w:t xml:space="preserve"> — ситуация, при которой руководителю известны существенные альтернативы и результаты их выбора. </w:t>
      </w:r>
      <w:r>
        <w:rPr>
          <w:rFonts w:ascii="Times New Roman" w:hAnsi="Times New Roman" w:eastAsia="Times New Roman"/>
          <w:b/>
          <w:sz w:val="28"/>
        </w:rPr>
        <w:t>Информационная неопределенность</w:t>
      </w:r>
      <w:r>
        <w:rPr>
          <w:rFonts w:ascii="Times New Roman" w:hAnsi="Times New Roman" w:eastAsia="Times New Roman"/>
          <w:b w:val="0"/>
          <w:sz w:val="28"/>
        </w:rPr>
        <w:t xml:space="preserve"> — ситуация, при которой результаты и/или их вероятности нельзя надежно установить на основе имеющихся данных.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/>
          <w:sz w:val="28"/>
        </w:rPr>
        <w:t>Перспективность</w:t>
      </w:r>
      <w:r>
        <w:rPr>
          <w:rFonts w:ascii="Times New Roman" w:hAnsi="Times New Roman" w:eastAsia="Times New Roman"/>
          <w:b w:val="0"/>
          <w:sz w:val="28"/>
        </w:rPr>
        <w:t xml:space="preserve"> — способность решения обеспечивать положительное развитие и полезный результат в будущем, а не только краткосрочный эффект.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/>
          <w:sz w:val="28"/>
        </w:rPr>
        <w:t>Социальные показатели</w:t>
      </w:r>
      <w:r>
        <w:rPr>
          <w:rFonts w:ascii="Times New Roman" w:hAnsi="Times New Roman" w:eastAsia="Times New Roman"/>
          <w:b w:val="0"/>
          <w:sz w:val="28"/>
        </w:rPr>
        <w:t xml:space="preserve"> — измеримые характеристики социальных последствий решения: занятость, уровень оплаты труда, текучесть кадров, травматизм, обучение, условия труда и удовлетворенность работников.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/>
          <w:sz w:val="28"/>
        </w:rPr>
        <w:t>Метод исключения</w:t>
      </w:r>
      <w:r>
        <w:rPr>
          <w:rFonts w:ascii="Times New Roman" w:hAnsi="Times New Roman" w:eastAsia="Times New Roman"/>
          <w:b w:val="0"/>
          <w:sz w:val="28"/>
        </w:rPr>
        <w:t xml:space="preserve"> — способ выбора, при котором альтернативы последовательно отклоняются из-за несоответствия критериям или нарушения ограничений, пока не остается приемлемый вариант.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/>
          <w:sz w:val="28"/>
        </w:rPr>
        <w:t>Аргумент</w:t>
      </w:r>
      <w:r>
        <w:rPr>
          <w:rFonts w:ascii="Times New Roman" w:hAnsi="Times New Roman" w:eastAsia="Times New Roman"/>
          <w:b w:val="0"/>
          <w:sz w:val="28"/>
        </w:rPr>
        <w:t xml:space="preserve"> — положение, довод или факт, используемый для обоснования определенного тезиса или выбора.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/>
          <w:sz w:val="28"/>
        </w:rPr>
        <w:t>Факт</w:t>
      </w:r>
      <w:r>
        <w:rPr>
          <w:rFonts w:ascii="Times New Roman" w:hAnsi="Times New Roman" w:eastAsia="Times New Roman"/>
          <w:b w:val="0"/>
          <w:sz w:val="28"/>
        </w:rPr>
        <w:t xml:space="preserve"> — реально существующее или произошедшее явление, достоверность которого установлена.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/>
          <w:sz w:val="28"/>
        </w:rPr>
        <w:t>Номенклатура продукции</w:t>
      </w:r>
      <w:r>
        <w:rPr>
          <w:rFonts w:ascii="Times New Roman" w:hAnsi="Times New Roman" w:eastAsia="Times New Roman"/>
          <w:b w:val="0"/>
          <w:sz w:val="28"/>
        </w:rPr>
        <w:t xml:space="preserve"> — перечень выпускаемых организацией наименований, видов, типов и моделей продукции.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/>
          <w:sz w:val="28"/>
        </w:rPr>
        <w:t>Дерево решений</w:t>
      </w:r>
      <w:r>
        <w:rPr>
          <w:rFonts w:ascii="Times New Roman" w:hAnsi="Times New Roman" w:eastAsia="Times New Roman"/>
          <w:b w:val="0"/>
          <w:sz w:val="28"/>
        </w:rPr>
        <w:t xml:space="preserve"> — графическое представление главного решения, последующих вариантов выбора и связанных с ними действий или последствий. Оно помогает показать последовательность и взаимозависимость решений. </w:t>
      </w:r>
      <w:r>
        <w:rPr>
          <w:rFonts w:ascii="Times New Roman" w:hAnsi="Times New Roman" w:eastAsia="Times New Roman"/>
          <w:b/>
          <w:sz w:val="28"/>
        </w:rPr>
        <w:t>Дерево целей</w:t>
      </w:r>
      <w:r>
        <w:rPr>
          <w:rFonts w:ascii="Times New Roman" w:hAnsi="Times New Roman" w:eastAsia="Times New Roman"/>
          <w:b w:val="0"/>
          <w:sz w:val="28"/>
        </w:rPr>
        <w:t xml:space="preserve"> декомпозирует желаемый конечный результат на подцели и не обязательно содержит альтернативы выбора; поэтому оно отвечает на вопрос «каких результатов достичь», тогда как дерево решений — «какие варианты выбрать и какие решения принять».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/>
          <w:sz w:val="28"/>
        </w:rPr>
        <w:t>Вывод</w:t>
      </w:r>
      <w:r>
        <w:rPr>
          <w:rFonts w:ascii="Times New Roman" w:hAnsi="Times New Roman" w:eastAsia="Times New Roman"/>
          <w:b w:val="0"/>
          <w:sz w:val="28"/>
        </w:rPr>
        <w:t xml:space="preserve"> — итог рассуждения или исследования, логически следующий из рассмотренных фактов и аргументов.</w:t>
      </w:r>
    </w:p>
    <w:sectPr w:rsidR="00FC693F" w:rsidRPr="0006063C" w:rsidSect="00034616">
      <w:footerReference w:type="default" r:id="rId9"/>
      <w:pgSz w:w="12240" w:h="15840"/>
      <w:pgMar w:top="1134" w:right="850" w:bottom="1134" w:left="1701" w:header="567" w:footer="567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/>
        <w:sz w:val="24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 w:line="240" w:lineRule="auto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 w:line="240" w:lineRule="auto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00000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60" w:line="240" w:lineRule="auto"/>
      <w:outlineLvl w:val="2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Анализ факторов, критериев и ограничений при принятии управленческих решений</dc:title>
  <dc:subject>Практическая работа № 1</dc:subject>
  <dc:creator>Соловьев А. С., группа П-41</dc:creator>
  <cp:keywords>управленческие решения, ИМЗ, факторы, критерии, ограничения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