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1</w:t>
      </w:r>
    </w:p>
    <w:p>
      <w:pPr>
        <w:spacing w:before="400"/>
        <w:jc w:val="center"/>
      </w:pPr>
      <w:r>
        <w:rPr>
          <w:rFonts w:ascii="Times New Roman" w:hAnsi="Times New Roman" w:eastAsia="Times New Roman"/>
          <w:b/>
          <w:sz w:val="36"/>
        </w:rPr>
        <w:t>«АНАЛИЗ ФАКТОРОВ, КРИТЕРИЕВ И ОГРАНИЧЕНИЙ</w:t>
        <w:br/>
        <w:t>ПРИ ПРИНЯТИИ УПРАВЛЕНЧЕСКИХ РЕШЕНИЙ»</w:t>
      </w:r>
    </w:p>
    <w:p>
      <w:pPr>
        <w:spacing w:before="240"/>
        <w:jc w:val="center"/>
      </w:pPr>
      <w:r>
        <w:rPr>
          <w:rFonts w:ascii="Times New Roman" w:hAnsi="Times New Roman" w:eastAsia="Times New Roman"/>
          <w:sz w:val="28"/>
        </w:rPr>
        <w:t>(на примере ОАО «Ирбитский мотоциклетный завод»)</w:t>
      </w:r>
    </w:p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3685"/>
      </w:tblGrid>
      <w:tr>
        <w:tc>
          <w:tcPr>
            <w:tcW w:type="dxa" w:w="198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198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2026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1. Название и цель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sz w:val="28"/>
        </w:rPr>
        <w:t xml:space="preserve"> «Анализ факторов, критериев и ограничений при принятии управленческих решений (на примере ОАО „Ирбитский мотоциклетный завод“)».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Цель работы:</w:t>
      </w:r>
      <w:r>
        <w:rPr>
          <w:rFonts w:ascii="Times New Roman" w:hAnsi="Times New Roman" w:eastAsia="Times New Roman"/>
          <w:b w:val="0"/>
          <w:sz w:val="28"/>
        </w:rPr>
        <w:t xml:space="preserve"> развитие практических навыков самостоятельного анализа факторов, влияющих на принятие управленческого решения, определения критериев выбора и ограничений, а также построения взаимосвязанной системы решений применительно к описанной управленческой ситуации [1, с. 133–135, 169–170].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2. Список исполнителей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Соловьев А. С., группа П-41.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3. Вид и сфера деятельности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Вид деятельности:</w:t>
      </w:r>
      <w:r>
        <w:rPr>
          <w:rFonts w:ascii="Times New Roman" w:hAnsi="Times New Roman" w:eastAsia="Times New Roman"/>
          <w:b w:val="0"/>
          <w:sz w:val="28"/>
        </w:rPr>
        <w:t xml:space="preserve"> производственная предпринимательская деятельность — разработка, изготовление и реализация мототехники.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Сфера деятельности:</w:t>
      </w:r>
      <w:r>
        <w:rPr>
          <w:rFonts w:ascii="Times New Roman" w:hAnsi="Times New Roman" w:eastAsia="Times New Roman"/>
          <w:b w:val="0"/>
          <w:sz w:val="28"/>
        </w:rPr>
        <w:t xml:space="preserve"> машиностроение, в частности производство тяжелых мотоциклов (объем двигателя от 650 куб. см) и ранее — вездеходной техники. Рассматриваемая управленческая ситуация относится также к сфере стратегического продуктового и рыночного развития предприятия.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4. Исходная ситуация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ОАО «Ирбитский мотоциклетный завод» (ИМЗ) специализировалось на выпуске тяжелых мотоциклов с коляской. В 1990 г. максимальный объем производства составил 130 тыс. мотоциклов. Основными покупателями являлись жители сельской местности и малых городов, использовавшие мотоциклы для перевозки людей и небольших грузов по плохим дорогам и бездорожью, а также для отдыха и хозяйственных поездок [1, с. 169].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1990-е гг. спрос со стороны традиционной группы потребителей резко сократился, а выпуск упал примерно до 2 тыс. мотоциклов. Предприятие, рассчитанное на значительно больший объем, оказалось далеко за точкой безубыточности и приблизилось к предбанкротному состоянию. Попытка одновременно осваивать несколько новых изделий — мотоциклы «Вояж» и «Кобра», вездеходы «Тайга», «Медведь» и «Егор» — проводилась при дефиците финансов. Из-за преждевременного вывода на рынок техники с конструктивными недостатками, не прошедшей необходимый цикл испытаний, имиджу предприятия был нанесен ущерб [1, с. 169].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1998 г. руководство признало традиционный российский рынок тяжелых мотоциклов как утилитарного транспорта неперспективным. Более привлекательным был определен сегмент тяжелых мотоциклов для развлечения. Предприятие переориентировалось на мотоциклы-одиночки, обеспечило выпуск моделей «Вояж» и «Волк», прекратило разработки вездеходов, начало сокращать избыточные производства и площади, развивать бренд «Урал — русский мотоцикл» и систему качества по стандартам ISO 9001 [1, с. 170].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5. Выбор направления изменений методом исключения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Метод исключения предполагает последовательное отклонение альтернатив, которые не отвечают установленным критериям либо нарушают существенные ограничения. Для выбора используются следующие критерии: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1. наличие перспективного платежеспособного спроса;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2. соответствие компетенциям и бренду ИМЗ;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3. экономическая целесообразность и возможность приблизиться к безубыточности;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4. допустимость требуемых вложений при дефиците финансов;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5. обеспечение качества, надежности и безопасности продукции;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6. управляемость технического, рыночного и репутационного риска;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7. положительный долгосрочный, технический и социальный эффект.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Направление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Решение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Лаконичная аргументация</w:t>
            </w:r>
          </w:p>
        </w:tc>
      </w:tr>
      <w:tr>
        <w:trPr>
          <w:cantSplit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1. Расширение номенклатуры производства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Отклонить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Одновременная разработка нескольких мотоциклов и вездеходов уже распылила дефицитные ресурсы. Поспешный выпуск недоработанных изделий нанес ущерб репутации. Расширение номенклатуры до стабилизации качества и финансов увеличит сложность и риск.</w:t>
            </w:r>
          </w:p>
        </w:tc>
      </w:tr>
      <w:tr>
        <w:trPr>
          <w:cantSplit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2. Увеличение объемов производства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Отклонить на данном этапе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Спрос на традиционные мотоциклы с коляской резко снизился. Рост выпуска без подтвержденного спроса приведет к запасам непроданной продукции, дополнительным затратам и увеличению убытков. Масштабирование возможно лишь после проверки спроса и качества новой модели.</w:t>
            </w:r>
          </w:p>
        </w:tc>
      </w:tr>
      <w:tr>
        <w:trPr>
          <w:cantSplit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3. Инвестирование в новую технику и сферу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Принять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Переход к тяжелым мотоциклам-одиночкам для обеспеченных покупателей и байкеров выводит ИМЗ в более перспективный досуговый сегмент, сохраняя связь с его инженерными компетенциями и брендом. Инвестиции должны быть поэтапными и сопровождаться полным циклом разработки, испытаний и контролем экономических результатов.</w:t>
            </w:r>
          </w:p>
        </w:tc>
      </w:tr>
    </w:tbl>
    <w:p>
      <w:pPr>
        <w:spacing w:after="0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Выбранное направление:</w:t>
      </w:r>
      <w:r>
        <w:rPr>
          <w:rFonts w:ascii="Times New Roman" w:hAnsi="Times New Roman" w:eastAsia="Times New Roman"/>
          <w:b w:val="0"/>
          <w:sz w:val="28"/>
        </w:rPr>
        <w:t xml:space="preserve"> поэтапное инвестирование в разработку и производство качественного тяжелого мотоцикла-одиночки и в освоение новой для ИМЗ рыночной сферы — мотоциклов для досуга и развлечения.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Это не означает безусловного финансирования любого нового изделия. Решение принимается при условии концентрации ресурсов на ограниченном числе моделей, подтверждения спроса, завершения испытаний и соблюдения финансовых лимитов.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6. Критерии и ограничения решения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6.1. Критерии приемлемости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Критерий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Признак приемлемого решения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Рыночная перспективность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Подтвержден интерес платежеспособных покупателей и байкерского сообщества; определена емкость целевого сегмента.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Качество и безопасность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Прототип прошел полный цикл конструкторских проверок, дорожных испытаний и обязательных процедур допуска.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Экономическая эффективность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Расчетная цена и маржинальный доход покрывают переменные затраты и в перспективе дают вклад в покрытие постоянных расходов.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Финансовая реализуемость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Каждый этап укладывается в утвержденный лимит; следующий этап финансируется только после достижения контрольных показателей.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Техническая осуществимость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Завод располагает ключевыми компетенциями либо может привлечь необходимых поставщиков и специалистов.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Стратегическое соответствие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Новая модель укрепляет специализацию на тяжелых мотоциклах и бренд «Урал», а не распыляет ресурсы на несвязанные продукты.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Социальная приемлемость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Сохраняются ключевые компетенции и занятость в жизнеспособной части производства; при реорганизации предусмотрены обучение и корректная работа с персоналом.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Допустимый риск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Основные риски выявлены, назначены ответственные и предусмотрены испытания, пилотная партия, резерв и условия остановки проекта.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6.2. Существенные ограничения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1. </w:t>
      </w:r>
      <w:r>
        <w:rPr>
          <w:rFonts w:ascii="Times New Roman" w:hAnsi="Times New Roman" w:eastAsia="Times New Roman"/>
          <w:b/>
          <w:sz w:val="28"/>
        </w:rPr>
        <w:t>Финансовое:</w:t>
      </w:r>
      <w:r>
        <w:rPr>
          <w:rFonts w:ascii="Times New Roman" w:hAnsi="Times New Roman" w:eastAsia="Times New Roman"/>
          <w:b w:val="0"/>
          <w:sz w:val="28"/>
        </w:rPr>
        <w:t xml:space="preserve"> дефицит собственных средств и предбанкротное состояние не допускают одновременного финансирования большого числа проектов.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2. </w:t>
      </w:r>
      <w:r>
        <w:rPr>
          <w:rFonts w:ascii="Times New Roman" w:hAnsi="Times New Roman" w:eastAsia="Times New Roman"/>
          <w:b/>
          <w:sz w:val="28"/>
        </w:rPr>
        <w:t>Рыночное:</w:t>
      </w:r>
      <w:r>
        <w:rPr>
          <w:rFonts w:ascii="Times New Roman" w:hAnsi="Times New Roman" w:eastAsia="Times New Roman"/>
          <w:b w:val="0"/>
          <w:sz w:val="28"/>
        </w:rPr>
        <w:t xml:space="preserve"> спрос на прежний утилитарный мотоцикл с коляской существенно сократился; нельзя считать прежний объем продаж достижимым.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3. </w:t>
      </w:r>
      <w:r>
        <w:rPr>
          <w:rFonts w:ascii="Times New Roman" w:hAnsi="Times New Roman" w:eastAsia="Times New Roman"/>
          <w:b/>
          <w:sz w:val="28"/>
        </w:rPr>
        <w:t>Информационное:</w:t>
      </w:r>
      <w:r>
        <w:rPr>
          <w:rFonts w:ascii="Times New Roman" w:hAnsi="Times New Roman" w:eastAsia="Times New Roman"/>
          <w:b w:val="0"/>
          <w:sz w:val="28"/>
        </w:rPr>
        <w:t xml:space="preserve"> отсутствует полная достоверная информация о емкости нового сегмента, цене спроса и реакции конкурентов.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4. </w:t>
      </w:r>
      <w:r>
        <w:rPr>
          <w:rFonts w:ascii="Times New Roman" w:hAnsi="Times New Roman" w:eastAsia="Times New Roman"/>
          <w:b/>
          <w:sz w:val="28"/>
        </w:rPr>
        <w:t>Техническое:</w:t>
      </w:r>
      <w:r>
        <w:rPr>
          <w:rFonts w:ascii="Times New Roman" w:hAnsi="Times New Roman" w:eastAsia="Times New Roman"/>
          <w:b w:val="0"/>
          <w:sz w:val="28"/>
        </w:rPr>
        <w:t xml:space="preserve"> вывод изделия на рынок допустим только после устранения конструктивных недостатков и полного цикла испытаний.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5. </w:t>
      </w:r>
      <w:r>
        <w:rPr>
          <w:rFonts w:ascii="Times New Roman" w:hAnsi="Times New Roman" w:eastAsia="Times New Roman"/>
          <w:b/>
          <w:sz w:val="28"/>
        </w:rPr>
        <w:t>Производственное:</w:t>
      </w:r>
      <w:r>
        <w:rPr>
          <w:rFonts w:ascii="Times New Roman" w:hAnsi="Times New Roman" w:eastAsia="Times New Roman"/>
          <w:b w:val="0"/>
          <w:sz w:val="28"/>
        </w:rPr>
        <w:t xml:space="preserve"> структура и площади предприятия рассчитаны на массовый выпуск старой продукции и создают чрезмерные постоянные расходы.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6. </w:t>
      </w:r>
      <w:r>
        <w:rPr>
          <w:rFonts w:ascii="Times New Roman" w:hAnsi="Times New Roman" w:eastAsia="Times New Roman"/>
          <w:b/>
          <w:sz w:val="28"/>
        </w:rPr>
        <w:t>Репутационное:</w:t>
      </w:r>
      <w:r>
        <w:rPr>
          <w:rFonts w:ascii="Times New Roman" w:hAnsi="Times New Roman" w:eastAsia="Times New Roman"/>
          <w:b w:val="0"/>
          <w:sz w:val="28"/>
        </w:rPr>
        <w:t xml:space="preserve"> повторный выпуск недоработанной техники способен окончательно снизить доверие покупателей и дилеров.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7. </w:t>
      </w:r>
      <w:r>
        <w:rPr>
          <w:rFonts w:ascii="Times New Roman" w:hAnsi="Times New Roman" w:eastAsia="Times New Roman"/>
          <w:b/>
          <w:sz w:val="28"/>
        </w:rPr>
        <w:t>Кадровое и временное:</w:t>
      </w:r>
      <w:r>
        <w:rPr>
          <w:rFonts w:ascii="Times New Roman" w:hAnsi="Times New Roman" w:eastAsia="Times New Roman"/>
          <w:b w:val="0"/>
          <w:sz w:val="28"/>
        </w:rPr>
        <w:t xml:space="preserve"> число квалифицированных конструкторов, технологов, испытателей и управленцев, а также продолжительность разработки ограничены.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8. </w:t>
      </w:r>
      <w:r>
        <w:rPr>
          <w:rFonts w:ascii="Times New Roman" w:hAnsi="Times New Roman" w:eastAsia="Times New Roman"/>
          <w:b/>
          <w:sz w:val="28"/>
        </w:rPr>
        <w:t>Социальное:</w:t>
      </w:r>
      <w:r>
        <w:rPr>
          <w:rFonts w:ascii="Times New Roman" w:hAnsi="Times New Roman" w:eastAsia="Times New Roman"/>
          <w:b w:val="0"/>
          <w:sz w:val="28"/>
        </w:rPr>
        <w:t xml:space="preserve"> сокращение непрофильных производств и площадей необходимо проводить с учетом занятости, безопасности труда и сохранения критических компетенций.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7. Анализ факторов, влияющих на принятие управленческого решения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Перечень факторов принят по учебному пособию [1, с. 133–135].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7.1. Личностные оценки руководителя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Руководитель интерпретирует информацию через собственные ценности, опыт и отношение к риску. Новая команда ИМЗ оценила старый рынок как неперспективный, а досуговый сегмент — как привлекательный. Такая предпринимательская оценка необходима для выхода из кризиса, однако прошлый опыт неоправданной спешки показывает опасность избыточного оптимизма. Поэтому личная оценка должна проверяться исследованиями рынка, независимой технической экспертизой и установленными контрольными точками проекта.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7.2. Среда принятия решения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Решение принимается преимущественно в условиях </w:t>
      </w:r>
      <w:r>
        <w:rPr>
          <w:rFonts w:ascii="Times New Roman" w:hAnsi="Times New Roman" w:eastAsia="Times New Roman"/>
          <w:b/>
          <w:sz w:val="28"/>
        </w:rPr>
        <w:t>информационной неопределенности</w:t>
      </w:r>
      <w:r>
        <w:rPr>
          <w:rFonts w:ascii="Times New Roman" w:hAnsi="Times New Roman" w:eastAsia="Times New Roman"/>
          <w:b w:val="0"/>
          <w:sz w:val="28"/>
        </w:rPr>
        <w:t>. Достоверно известны падение традиционного спроса, низкая загрузка мощностей, дефицит финансов и наличие репутационного ущерба. При этом нельзя точно предсказать объем нового сегмента, готовность покупателей платить, сроки разработки и реакцию конкурентов. Следовательно, единовременное крупное вложение недопустимо: необходимы прототип, исследование спроса, пилотная партия и последовательное уточнение решения по результатам каждого этапа.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7.3. Культурные различия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ситуации отмечено влияние климата, плотности населения, национальных производителей, мотоциклетных традиций и склонности общества к определенному стилю езды на структуру спроса [1, с. 170]. Поэтому выводы по зарубежным рынкам нельзя механически переносить в Россию. Одновременно российское происхождение может стать отличительным преимуществом, что поддерживает позиционирование «Урал — русский мотоцикл».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7.4. Информационные ограничения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Получение полной информации требует времени и денег, которых у ИМЗ недостаточно. Необходим разумно достаточный набор данных: интервью с потенциальными покупателями и дилерами, анализ цен и конкурентов, стоимость разработки и производства, результаты испытаний, предварительные заказы. Затраты на дополнительную информацию оправданы до тех пор, пока ожидаемая польза от снижения ошибки выбора не становится меньше расходов на ее получение.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7.5. Поведенческие ограничения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Участники решения могут по-разному понимать проблему и защищать интересы своих подразделений. Конструкторы заинтересованы в техническом совершенстве, сбыт — в быстром выводе модели, производство — в загрузке мощностей, финансовая служба — в минимизации расходов. Также возможны приверженность прежней продукции и стремление скрыть недостатки проекта. Ограничить влияние этих факторов позволяют единые критерии, межфункциональная проектная группа, документирование результатов испытаний и персональная ответственность за этапы.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7.6. Взаимосвязь решений: дерево решений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Главное решение соответствует ранее выбранному направлению: </w:t>
      </w:r>
      <w:r>
        <w:rPr>
          <w:rFonts w:ascii="Times New Roman" w:hAnsi="Times New Roman" w:eastAsia="Times New Roman"/>
          <w:b/>
          <w:sz w:val="28"/>
        </w:rPr>
        <w:t>инвестировать в новую технику и освоение досугового сегмента тяжелых мотоциклов</w:t>
      </w:r>
      <w:r>
        <w:rPr>
          <w:rFonts w:ascii="Times New Roman" w:hAnsi="Times New Roman" w:eastAsia="Times New Roman"/>
          <w:b w:val="0"/>
          <w:sz w:val="28"/>
        </w:rPr>
        <w:t>. Оно не может быть реализовано изолированно и декомпозируется следующим образом.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7917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-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91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i/>
          <w:sz w:val="24"/>
        </w:rPr>
        <w:t>Рисунок 1 — Дерево решений по выбранному направлению изменений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Ветви взаимозависимы: например, массовый запуск до завершения испытаний повторит прежнюю ошибку, а сохранение избыточной производственной структуры повысит точку безубыточности и потребность в финансировании. Масштабирование является не исходным действием, а последующим решением после подтверждения качества и спроса.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7.7. Фактор сложности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Решение охватывает маркетинговую, конструкторскую, технологическую, производственную, финансовую, кадровую и сбытовую сферы. Чем больше подразделений и работников вовлечено, тем выше стоимость координации и вероятность задержек. Сложность следует уменьшить концентрацией на одной продуктовой платформе, назначением руководителя проекта, разделением работ на этапы и единым графиком контрольных точек.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7.8. Перспективность действия решения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Краткосрочное увеличение выпуска старой продукции не создает устойчивого будущего. Инвестиции в качественный мотоцикл-одиночку, систему качества и бренд формируют основу для долгосрочного присутствия в перспективном сегменте. Перспективность сохраняется только при регулярной проверке рыночных предпосылок: если пилотные продажи не подтверждают спрос, проект необходимо скорректировать или остановить.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7.9. Фактор финансовых вложений и их анализа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Радикальное обновление требует затрат на конструкторские работы, прототипы, испытания, технологическую подготовку, качество и продвижение. Для предприятия с недостатком финансов это один из главных ограничивающих факторов. Необходимо определить источники средств, этапные бюджеты, прогноз денежных потоков, точку безубыточности, допустимую долговую нагрузку и резерв. Заемное финансирование приемлемо только при способности обслуживать долг и без критической зависимости от кредиторов.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7.10. Экономическая целесообразность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Выбранный вариант должен давать ожидаемый экономический эффект, превышающий затраты. При отсутствии исходных числовых данных окончательный расчет невозможен, поэтому устанавливается правило: проект продолжается, если подтвержденная цена и ожидаемый объем продаж обеспечивают положительный маржинальный доход, а реалистичный прогноз показывает достижимость безубыточности в установленный срок. В расчет включаются не только разработка модели, но и испытания, гарантийное обслуживание, продвижение, перестройка производства и стоимость финансирования.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7.11. Учет экономического, социального, нравственно-этического и технического эффекта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Экономический эффект:</w:t>
      </w:r>
      <w:r>
        <w:rPr>
          <w:rFonts w:ascii="Times New Roman" w:hAnsi="Times New Roman" w:eastAsia="Times New Roman"/>
          <w:b w:val="0"/>
          <w:sz w:val="28"/>
        </w:rPr>
        <w:t xml:space="preserve"> рост выручки и маржинального дохода, снижение издержек избыточных площадей, уменьшение бартера и восстановление платежеспособности.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Социальный эффект:</w:t>
      </w:r>
      <w:r>
        <w:rPr>
          <w:rFonts w:ascii="Times New Roman" w:hAnsi="Times New Roman" w:eastAsia="Times New Roman"/>
          <w:b w:val="0"/>
          <w:sz w:val="28"/>
        </w:rPr>
        <w:t xml:space="preserve"> сохранение жизнеспособной части предприятия и ключевых рабочих мест, обучение персонала; возможное сокращение занятости является отрицательным эффектом и требует управляемых мер.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Нравственно-этический эффект:</w:t>
      </w:r>
      <w:r>
        <w:rPr>
          <w:rFonts w:ascii="Times New Roman" w:hAnsi="Times New Roman" w:eastAsia="Times New Roman"/>
          <w:b w:val="0"/>
          <w:sz w:val="28"/>
        </w:rPr>
        <w:t xml:space="preserve"> недопустимо продавать потребителю недостаточно испытанную и потенциально небезопасную технику; сведения о характеристиках и сроках должны быть достоверными.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Технический эффект:</w:t>
      </w:r>
      <w:r>
        <w:rPr>
          <w:rFonts w:ascii="Times New Roman" w:hAnsi="Times New Roman" w:eastAsia="Times New Roman"/>
          <w:b w:val="0"/>
          <w:sz w:val="28"/>
        </w:rPr>
        <w:t xml:space="preserve"> повышение надежности, формирование дисциплины разработки и испытаний, внедрение системы менеджмента качества.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7.12. Степень риска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Решение имеет высокий рыночный, технический, финансовый и репутационный риск. Основные способы снижения риска: исследование спроса; концентрация на ограниченном числе моделей; создание и испытание прототипа; пилотная партия; поэтапное финансирование; независимый контроль качества; резерв средств; заранее заданные показатели продолжения и остановки проекта. Полностью устранить риск невозможно, но его можно сделать наблюдаемым и ограниченным.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8. Выводы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В словарном значении </w:t>
      </w:r>
      <w:r>
        <w:rPr>
          <w:rFonts w:ascii="Times New Roman" w:hAnsi="Times New Roman" w:eastAsia="Times New Roman"/>
          <w:b/>
          <w:sz w:val="28"/>
        </w:rPr>
        <w:t>вывод</w:t>
      </w:r>
      <w:r>
        <w:rPr>
          <w:rFonts w:ascii="Times New Roman" w:hAnsi="Times New Roman" w:eastAsia="Times New Roman"/>
          <w:b w:val="0"/>
          <w:sz w:val="28"/>
        </w:rPr>
        <w:t xml:space="preserve"> — это итог рассуждения или исследования [2]. На основании анализа ситуации сделаны следующие выводы.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1. Для ИМЗ наиболее обосновано направление </w:t>
      </w:r>
      <w:r>
        <w:rPr>
          <w:rFonts w:ascii="Times New Roman" w:hAnsi="Times New Roman" w:eastAsia="Times New Roman"/>
          <w:b/>
          <w:sz w:val="28"/>
        </w:rPr>
        <w:t>поэтапного инвестирования в новую технику и новую рыночную сферу</w:t>
      </w:r>
      <w:r>
        <w:rPr>
          <w:rFonts w:ascii="Times New Roman" w:hAnsi="Times New Roman" w:eastAsia="Times New Roman"/>
          <w:b w:val="0"/>
          <w:sz w:val="28"/>
        </w:rPr>
        <w:t xml:space="preserve"> — тяжелые мотоциклы-одиночки для досуга, обеспеченных покупателей и байкеров. Оно использует базовые компетенции предприятия и одновременно уводит его от сокращающегося традиционного рынка.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2. Расширение номенклатуры необходимо исключить, поскольку оно распыляет дефицитные ресурсы и увеличивает вероятность повторного выпуска недоработанных изделий. Немедленное увеличение объема также исключается из-за неподтвержденного спроса; масштабирование допустимо только после успешных испытаний и пилотных продаж.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3. Критическими факторами являются неопределенность нового рынка, дефицит информации и финансов, взаимосвязь продуктовых, производственных и коммерческих решений, высокая сложность и риск, а также необходимость учитывать не только экономические, но и социальные, нравственно-этические и технические последствия.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4. Решение приемлемо лишь при соблюдении ограничений: концентрация на небольшом числе моделей, полный цикл испытаний, поэтапный бюджет, сокращение избыточных постоянных затрат, независимый контроль качества и наличие критериев остановки проекта.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5. Дерево решений показывает, что инвестиционное направление требует согласованного набора подчиненных решений по продукту, целевому рынку, разработке, производству, финансированию и выводу на рынок. Ошибка хотя бы в одной критической ветви может обесценить главное решение.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9. Список использованных источников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133–135, 169–170.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2. Ожегов С. И., Шведова Н. Ю. Толковый словарь русского языка: 80 000 слов и фразеологических выражений. — 4-е изд., доп. — М.: Азбуковник, 1999. — 944 с.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Приложение А. Краткий словарь терминов для защиты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Фактор</w:t>
      </w:r>
      <w:r>
        <w:rPr>
          <w:rFonts w:ascii="Times New Roman" w:hAnsi="Times New Roman" w:eastAsia="Times New Roman"/>
          <w:b w:val="0"/>
          <w:sz w:val="28"/>
        </w:rPr>
        <w:t xml:space="preserve"> — причина, условие или обстоятельство, которое влияет на содержание, выбор либо результат решения.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Критерий</w:t>
      </w:r>
      <w:r>
        <w:rPr>
          <w:rFonts w:ascii="Times New Roman" w:hAnsi="Times New Roman" w:eastAsia="Times New Roman"/>
          <w:b w:val="0"/>
          <w:sz w:val="28"/>
        </w:rPr>
        <w:t xml:space="preserve"> — признак или основание, по которому оцениваются и сопоставляются варианты решения.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Ограничение</w:t>
      </w:r>
      <w:r>
        <w:rPr>
          <w:rFonts w:ascii="Times New Roman" w:hAnsi="Times New Roman" w:eastAsia="Times New Roman"/>
          <w:b w:val="0"/>
          <w:sz w:val="28"/>
        </w:rPr>
        <w:t xml:space="preserve"> — условие, задающее допустимые границы решения и исключающее неприемлемые варианты.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Сфера деятельности</w:t>
      </w:r>
      <w:r>
        <w:rPr>
          <w:rFonts w:ascii="Times New Roman" w:hAnsi="Times New Roman" w:eastAsia="Times New Roman"/>
          <w:b w:val="0"/>
          <w:sz w:val="28"/>
        </w:rPr>
        <w:t xml:space="preserve"> — область общественной и хозяйственной деятельности, в пределах которой работает организация; для ИМЗ — машиностроение и производство мототехники.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Информационная определенность</w:t>
      </w:r>
      <w:r>
        <w:rPr>
          <w:rFonts w:ascii="Times New Roman" w:hAnsi="Times New Roman" w:eastAsia="Times New Roman"/>
          <w:b w:val="0"/>
          <w:sz w:val="28"/>
        </w:rPr>
        <w:t xml:space="preserve"> — ситуация, при которой руководителю известны существенные альтернативы и результаты их выбора. </w:t>
      </w:r>
      <w:r>
        <w:rPr>
          <w:rFonts w:ascii="Times New Roman" w:hAnsi="Times New Roman" w:eastAsia="Times New Roman"/>
          <w:b/>
          <w:sz w:val="28"/>
        </w:rPr>
        <w:t>Информационная неопределенность</w:t>
      </w:r>
      <w:r>
        <w:rPr>
          <w:rFonts w:ascii="Times New Roman" w:hAnsi="Times New Roman" w:eastAsia="Times New Roman"/>
          <w:b w:val="0"/>
          <w:sz w:val="28"/>
        </w:rPr>
        <w:t xml:space="preserve"> — ситуация, при которой результаты и/или их вероятности нельзя надежно установить на основе имеющихся данных.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Перспективность</w:t>
      </w:r>
      <w:r>
        <w:rPr>
          <w:rFonts w:ascii="Times New Roman" w:hAnsi="Times New Roman" w:eastAsia="Times New Roman"/>
          <w:b w:val="0"/>
          <w:sz w:val="28"/>
        </w:rPr>
        <w:t xml:space="preserve"> — способность решения обеспечивать положительное развитие и полезный результат в будущем, а не только краткосрочный эффект.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Социальные показатели</w:t>
      </w:r>
      <w:r>
        <w:rPr>
          <w:rFonts w:ascii="Times New Roman" w:hAnsi="Times New Roman" w:eastAsia="Times New Roman"/>
          <w:b w:val="0"/>
          <w:sz w:val="28"/>
        </w:rPr>
        <w:t xml:space="preserve"> — измеримые характеристики социальных последствий решения: занятость, уровень оплаты труда, текучесть кадров, травматизм, обучение, условия труда и удовлетворенность работников.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Метод исключения</w:t>
      </w:r>
      <w:r>
        <w:rPr>
          <w:rFonts w:ascii="Times New Roman" w:hAnsi="Times New Roman" w:eastAsia="Times New Roman"/>
          <w:b w:val="0"/>
          <w:sz w:val="28"/>
        </w:rPr>
        <w:t xml:space="preserve"> — способ выбора, при котором альтернативы последовательно отклоняются из-за несоответствия критериям или нарушения ограничений, пока не остается приемлемый вариант.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Аргумент</w:t>
      </w:r>
      <w:r>
        <w:rPr>
          <w:rFonts w:ascii="Times New Roman" w:hAnsi="Times New Roman" w:eastAsia="Times New Roman"/>
          <w:b w:val="0"/>
          <w:sz w:val="28"/>
        </w:rPr>
        <w:t xml:space="preserve"> — положение, довод или факт, используемый для обоснования определенного тезиса или выбора.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Факт</w:t>
      </w:r>
      <w:r>
        <w:rPr>
          <w:rFonts w:ascii="Times New Roman" w:hAnsi="Times New Roman" w:eastAsia="Times New Roman"/>
          <w:b w:val="0"/>
          <w:sz w:val="28"/>
        </w:rPr>
        <w:t xml:space="preserve"> — реально существующее или произошедшее явление, достоверность которого установлена.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Номенклатура продукции</w:t>
      </w:r>
      <w:r>
        <w:rPr>
          <w:rFonts w:ascii="Times New Roman" w:hAnsi="Times New Roman" w:eastAsia="Times New Roman"/>
          <w:b w:val="0"/>
          <w:sz w:val="28"/>
        </w:rPr>
        <w:t xml:space="preserve"> — перечень выпускаемых организацией наименований, видов, типов и моделей продукции.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Дерево решений</w:t>
      </w:r>
      <w:r>
        <w:rPr>
          <w:rFonts w:ascii="Times New Roman" w:hAnsi="Times New Roman" w:eastAsia="Times New Roman"/>
          <w:b w:val="0"/>
          <w:sz w:val="28"/>
        </w:rPr>
        <w:t xml:space="preserve"> — графическое представление главного решения, последующих вариантов выбора и связанных с ними действий или последствий. Оно помогает показать последовательность и взаимозависимость решений. </w:t>
      </w:r>
      <w:r>
        <w:rPr>
          <w:rFonts w:ascii="Times New Roman" w:hAnsi="Times New Roman" w:eastAsia="Times New Roman"/>
          <w:b/>
          <w:sz w:val="28"/>
        </w:rPr>
        <w:t>Дерево целей</w:t>
      </w:r>
      <w:r>
        <w:rPr>
          <w:rFonts w:ascii="Times New Roman" w:hAnsi="Times New Roman" w:eastAsia="Times New Roman"/>
          <w:b w:val="0"/>
          <w:sz w:val="28"/>
        </w:rPr>
        <w:t xml:space="preserve"> декомпозирует желаемый конечный результат на подцели и не обязательно содержит альтернативы выбора; поэтому оно отвечает на вопрос «каких результатов достичь», тогда как дерево решений — «какие варианты выбрать и какие решения принять».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Вывод</w:t>
      </w:r>
      <w:r>
        <w:rPr>
          <w:rFonts w:ascii="Times New Roman" w:hAnsi="Times New Roman" w:eastAsia="Times New Roman"/>
          <w:b w:val="0"/>
          <w:sz w:val="28"/>
        </w:rPr>
        <w:t xml:space="preserve"> — итог рассуждения или исследования, логически следующий из рассмотренных фактов и аргументов.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Анализ факторов, критериев и ограничений при принятии управленческих решений</dc:title>
  <dc:subject>Практическая работа № 1</dc:subject>
  <dc:creator>Соловьев А. С., группа П-41</dc:creator>
  <cp:keywords>управленческие решения, ИМЗ, факторы, критерии, ограничения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