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ОТЧЕТ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 выполнении практической работы № 5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sz w:val="36"/>
        </w:rPr>
        <w:t>«РАЗРАБОТКА И ПРИНЯТИЕ УПРАВЛЕНЧЕСКИХ РЕШЕНИЙ</w:t>
        <w:br/>
        <w:t>НА ОСНОВЕ ЭКСПЕРТНЫХ МЕТОДОВ»</w:t>
      </w:r>
    </w:p>
    <w:p/>
    <w:p/>
    <w:p/>
    <w:p/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2098"/>
          </w:tcPr>
          <w:p>
            <w:r/>
            <w:r>
              <w:rPr>
                <w:rFonts w:ascii="Times New Roman" w:hAnsi="Times New Roman" w:eastAsia="Times New Roman"/>
                <w:sz w:val="28"/>
              </w:rPr>
              <w:t>Исполнитель: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Times New Roman"/>
                <w:sz w:val="28"/>
              </w:rPr>
              <w:t>студент группы П-41</w:t>
            </w:r>
          </w:p>
        </w:tc>
      </w:tr>
      <w:tr>
        <w:tc>
          <w:tcPr>
            <w:tcW w:type="dxa" w:w="2098"/>
          </w:tcPr>
          <w:p>
            <w:r/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Times New Roman"/>
                <w:sz w:val="28"/>
              </w:rPr>
              <w:t>Соловьев А. С.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8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1. Название и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Название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«Разработка и принятие управленческих решений на основе экспертных методов».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сформулировать проблемную ситуацию с количественными ограничениями и зависимостями, построить дерево целей, провести его оценку методом коллективной экспертизы, проверить альтернативы двумя дополнительными экспертными методами (морфологическим анализом и методом сценариев) и обосновать выбор эффективного управленческого решения [1, с. 143–155, 179].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2. Список исполнителей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Соловьев А. С., группа П-41.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учебной коллективной экспертизы использованы пять функциональных экспертных позиций: представитель учебного управления, преподаватель-методист, специалист по информационным технологиям, экономист и представитель студентов. Персональные данные других участников не приводятся; оценки представлены по ролям.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3. Проблемная ситуация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3.1. Описание ситуации и проблемы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университете обучаются </w:t>
      </w:r>
      <w:r>
        <w:rPr>
          <w:rFonts w:ascii="Times New Roman" w:hAnsi="Times New Roman" w:eastAsia="Times New Roman"/>
          <w:b/>
          <w:i w:val="0"/>
          <w:sz w:val="28"/>
        </w:rPr>
        <w:t>1200 студентов первого курса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По итогам последней зимней сессии </w:t>
      </w:r>
      <w:r>
        <w:rPr>
          <w:rFonts w:ascii="Times New Roman" w:hAnsi="Times New Roman" w:eastAsia="Times New Roman"/>
          <w:b/>
          <w:i w:val="0"/>
          <w:sz w:val="28"/>
        </w:rPr>
        <w:t>28%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то есть 336 студентов, имели хотя бы одну академическую задолженность. До второго курса продолжили обучение </w:t>
      </w:r>
      <w:r>
        <w:rPr>
          <w:rFonts w:ascii="Times New Roman" w:hAnsi="Times New Roman" w:eastAsia="Times New Roman"/>
          <w:b/>
          <w:i w:val="0"/>
          <w:sz w:val="28"/>
        </w:rPr>
        <w:t>88%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набора, или 1056 студентов. Средняя оценка доступности учебных материалов и своевременности обратной связи составила </w:t>
      </w:r>
      <w:r>
        <w:rPr>
          <w:rFonts w:ascii="Times New Roman" w:hAnsi="Times New Roman" w:eastAsia="Times New Roman"/>
          <w:b/>
          <w:i w:val="0"/>
          <w:sz w:val="28"/>
        </w:rPr>
        <w:t>3,2 балла из 5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Ректорату необходимо принять решение о программе сопровождения первокурсников на следующий учебный год. Желаемое состояние: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снизить долю студентов хотя бы с одной академической задолженностью с 28% до </w:t>
      </w:r>
      <w:r>
        <w:rPr>
          <w:rFonts w:ascii="Times New Roman" w:hAnsi="Times New Roman" w:eastAsia="Times New Roman"/>
          <w:b/>
          <w:i w:val="0"/>
          <w:sz w:val="28"/>
        </w:rPr>
        <w:t>18% или менее</w:t>
      </w:r>
      <w:r>
        <w:rPr>
          <w:rFonts w:ascii="Times New Roman" w:hAnsi="Times New Roman" w:eastAsia="Times New Roman"/>
          <w:b w:val="0"/>
          <w:i w:val="0"/>
          <w:sz w:val="28"/>
        </w:rPr>
        <w:t>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увеличить сохранность контингента с 88% до </w:t>
      </w:r>
      <w:r>
        <w:rPr>
          <w:rFonts w:ascii="Times New Roman" w:hAnsi="Times New Roman" w:eastAsia="Times New Roman"/>
          <w:b/>
          <w:i w:val="0"/>
          <w:sz w:val="28"/>
        </w:rPr>
        <w:t>93% или более</w:t>
      </w:r>
      <w:r>
        <w:rPr>
          <w:rFonts w:ascii="Times New Roman" w:hAnsi="Times New Roman" w:eastAsia="Times New Roman"/>
          <w:b w:val="0"/>
          <w:i w:val="0"/>
          <w:sz w:val="28"/>
        </w:rPr>
        <w:t>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повысить оценку доступности материалов и обратной связи до </w:t>
      </w:r>
      <w:r>
        <w:rPr>
          <w:rFonts w:ascii="Times New Roman" w:hAnsi="Times New Roman" w:eastAsia="Times New Roman"/>
          <w:b/>
          <w:i w:val="0"/>
          <w:sz w:val="28"/>
        </w:rPr>
        <w:t>4,0 из 5</w:t>
      </w:r>
      <w:r>
        <w:rPr>
          <w:rFonts w:ascii="Times New Roman" w:hAnsi="Times New Roman" w:eastAsia="Times New Roman"/>
          <w:b w:val="0"/>
          <w:i w:val="0"/>
          <w:sz w:val="28"/>
        </w:rPr>
        <w:t>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запустить программу не позднее начала нового учебного года.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Проблема: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действующие способы организации материалов, диагностики затруднений и поддержки студентов не позволяют при имеющихся ресурсах одновременно обеспечить требуемое снижение задолженностей и рост сохранности контингента.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достижения целевого уровня необходимо уменьшить число студентов с задолженностями минимум на </w:t>
      </w:r>
      <w:r>
        <w:rPr>
          <w:rFonts w:ascii="Times New Roman" w:hAnsi="Times New Roman" w:eastAsia="Times New Roman"/>
          <w:b/>
          <w:i w:val="0"/>
          <w:sz w:val="28"/>
        </w:rPr>
        <w:t>120 человек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336 − 216 = 120, где 216 - 18% от 1200. Для достижения сохранности 93% необходимо удержать дополнительно не менее </w:t>
      </w:r>
      <w:r>
        <w:rPr>
          <w:rFonts w:ascii="Times New Roman" w:hAnsi="Times New Roman" w:eastAsia="Times New Roman"/>
          <w:b/>
          <w:i w:val="0"/>
          <w:sz w:val="28"/>
        </w:rPr>
        <w:t>60 студентов</w:t>
      </w:r>
      <w:r>
        <w:rPr>
          <w:rFonts w:ascii="Times New Roman" w:hAnsi="Times New Roman" w:eastAsia="Times New Roman"/>
          <w:b w:val="0"/>
          <w:i w:val="0"/>
          <w:sz w:val="28"/>
        </w:rPr>
        <w:t>: 1116 − 1056 = 60.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3.2. Количественные ограничения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84"/>
        <w:gridCol w:w="2648"/>
        <w:gridCol w:w="4823"/>
      </w:tblGrid>
      <w:tr>
        <w:trPr>
          <w:cantSplit/>
          <w:tblHeader w:val="true"/>
        </w:trPr>
        <w:tc>
          <w:tcPr>
            <w:tcW w:type="dxa" w:w="1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Ограничение</w:t>
            </w:r>
          </w:p>
        </w:tc>
        <w:tc>
          <w:tcPr>
            <w:tcW w:type="dxa" w:w="26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Предельное значение</w:t>
            </w:r>
          </w:p>
        </w:tc>
        <w:tc>
          <w:tcPr>
            <w:tcW w:type="dxa" w:w="4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Управленческий смысл</w:t>
            </w:r>
          </w:p>
        </w:tc>
      </w:tr>
      <w:tr>
        <w:trPr>
          <w:cantSplit/>
        </w:trPr>
        <w:tc>
          <w:tcPr>
            <w:tcW w:type="dxa" w:w="1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Бюджет программы</w:t>
            </w:r>
          </w:p>
        </w:tc>
        <w:tc>
          <w:tcPr>
            <w:tcW w:type="dxa" w:w="26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более 4,5 млн руб. на первый учебный год</w:t>
            </w:r>
          </w:p>
        </w:tc>
        <w:tc>
          <w:tcPr>
            <w:tcW w:type="dxa" w:w="4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 сумму должны входить настройка информационной системы, материалы, выплаты наставникам, обучение и резерв.</w:t>
            </w:r>
          </w:p>
        </w:tc>
      </w:tr>
      <w:tr>
        <w:trPr>
          <w:cantSplit/>
        </w:trPr>
        <w:tc>
          <w:tcPr>
            <w:tcW w:type="dxa" w:w="1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Срок запуска</w:t>
            </w:r>
          </w:p>
        </w:tc>
        <w:tc>
          <w:tcPr>
            <w:tcW w:type="dxa" w:w="26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более 4 месяцев</w:t>
            </w:r>
          </w:p>
        </w:tc>
        <w:tc>
          <w:tcPr>
            <w:tcW w:type="dxa" w:w="4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Основные сервисы должны быть готовы до начала учебного года.</w:t>
            </w:r>
          </w:p>
        </w:tc>
      </w:tr>
      <w:tr>
        <w:trPr>
          <w:cantSplit/>
        </w:trPr>
        <w:tc>
          <w:tcPr>
            <w:tcW w:type="dxa" w:w="1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Дополнительная нагрузка преподавателя</w:t>
            </w:r>
          </w:p>
        </w:tc>
        <w:tc>
          <w:tcPr>
            <w:tcW w:type="dxa" w:w="26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более 2 часов в неделю в среднем</w:t>
            </w:r>
          </w:p>
        </w:tc>
        <w:tc>
          <w:tcPr>
            <w:tcW w:type="dxa" w:w="4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Решение не должно создавать систематическую перегрузку преподавателей.</w:t>
            </w:r>
          </w:p>
        </w:tc>
      </w:tr>
      <w:tr>
        <w:trPr>
          <w:cantSplit/>
        </w:trPr>
        <w:tc>
          <w:tcPr>
            <w:tcW w:type="dxa" w:w="1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Проектный штат</w:t>
            </w:r>
          </w:p>
        </w:tc>
        <w:tc>
          <w:tcPr>
            <w:tcW w:type="dxa" w:w="26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более 2 новых штатных единиц</w:t>
            </w:r>
          </w:p>
        </w:tc>
        <w:tc>
          <w:tcPr>
            <w:tcW w:type="dxa" w:w="4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Остальные функции обеспечиваются существующими подразделениями и студенческими наставниками.</w:t>
            </w:r>
          </w:p>
        </w:tc>
      </w:tr>
      <w:tr>
        <w:trPr>
          <w:cantSplit/>
        </w:trPr>
        <w:tc>
          <w:tcPr>
            <w:tcW w:type="dxa" w:w="1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Охват диагностики</w:t>
            </w:r>
          </w:p>
        </w:tc>
        <w:tc>
          <w:tcPr>
            <w:tcW w:type="dxa" w:w="26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Все 1200 первокурсников</w:t>
            </w:r>
          </w:p>
        </w:tc>
        <w:tc>
          <w:tcPr>
            <w:tcW w:type="dxa" w:w="4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Нельзя ограничиться только добровольно обратившимися студентами, иначе часть риска останется невыявленной.</w:t>
            </w:r>
          </w:p>
        </w:tc>
      </w:tr>
      <w:tr>
        <w:trPr>
          <w:cantSplit/>
        </w:trPr>
        <w:tc>
          <w:tcPr>
            <w:tcW w:type="dxa" w:w="1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Ёмкость адресной поддержки</w:t>
            </w:r>
          </w:p>
        </w:tc>
        <w:tc>
          <w:tcPr>
            <w:tcW w:type="dxa" w:w="26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 400 студентов группы риска</w:t>
            </w:r>
          </w:p>
        </w:tc>
        <w:tc>
          <w:tcPr>
            <w:tcW w:type="dxa" w:w="4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Поддержка должна покрывать текущие 336 случаев и резерв возможного роста.</w:t>
            </w:r>
          </w:p>
        </w:tc>
      </w:tr>
      <w:tr>
        <w:trPr>
          <w:cantSplit/>
        </w:trPr>
        <w:tc>
          <w:tcPr>
            <w:tcW w:type="dxa" w:w="1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Соотношение наставников и студентов</w:t>
            </w:r>
          </w:p>
        </w:tc>
        <w:tc>
          <w:tcPr>
            <w:tcW w:type="dxa" w:w="26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более 1:20</w:t>
            </w:r>
          </w:p>
        </w:tc>
        <w:tc>
          <w:tcPr>
            <w:tcW w:type="dxa" w:w="4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Для 400 студентов требуется максимум 20 подготовленных наставников.</w:t>
            </w:r>
          </w:p>
        </w:tc>
      </w:tr>
      <w:tr>
        <w:trPr>
          <w:cantSplit/>
        </w:trPr>
        <w:tc>
          <w:tcPr>
            <w:tcW w:type="dxa" w:w="1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Защита данных</w:t>
            </w:r>
          </w:p>
        </w:tc>
        <w:tc>
          <w:tcPr>
            <w:tcW w:type="dxa" w:w="26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Использование действующей LMS и университетских учётных записей</w:t>
            </w:r>
          </w:p>
        </w:tc>
        <w:tc>
          <w:tcPr>
            <w:tcW w:type="dxa" w:w="4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Передача персональных учебных данных во внешнюю неподконтрольную систему запрещена.</w:t>
            </w:r>
          </w:p>
        </w:tc>
      </w:tr>
      <w:tr>
        <w:trPr>
          <w:cantSplit/>
        </w:trPr>
        <w:tc>
          <w:tcPr>
            <w:tcW w:type="dxa" w:w="1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Контрольная точка</w:t>
            </w:r>
          </w:p>
        </w:tc>
        <w:tc>
          <w:tcPr>
            <w:tcW w:type="dxa" w:w="26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Конец первого семестра</w:t>
            </w:r>
          </w:p>
        </w:tc>
        <w:tc>
          <w:tcPr>
            <w:tcW w:type="dxa" w:w="4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Программа продолжается или корректируется только после проверки промежуточных показателей.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3.3. Ключевые зависимости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Охват поддержки зависит от качества ранней диагностики.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Если группа риска определена неточно, наставники и консультации расходуются на студентов, не нуждающихся в интенсивной помощи, а часть реальных затруднений остаётся незамеченной.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Эффект поддержки зависит от участия студентов.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Даже качественная программа не снижает задолженности, если посещаемость консультаций и контакт с наставником остаются низкими.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Скорость обратной связи зависит от автоматизации.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Чем больше операций выполняется вручную, тем выше преподавательская нагрузка и тем медленнее обнаруживаются типовые ошибки.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Автоматизация требует первоначальных затрат.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Снижение текущей нагрузки достигается только после настройки LMS, шаблонов курса и панели контроля.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eastAsia="Times New Roman"/>
          <w:b/>
          <w:i w:val="0"/>
          <w:sz w:val="28"/>
        </w:rPr>
        <w:t>Сохранность контингента связана с задолженностями, но не определяется ими полностью.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 прекращение обучения также влияют мотивация, финансовые и личные обстоятельства, поэтому нужен маршрут передачи сложных случаев тьютору или профильной службе.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6. </w:t>
      </w:r>
      <w:r>
        <w:rPr>
          <w:rFonts w:ascii="Times New Roman" w:hAnsi="Times New Roman" w:eastAsia="Times New Roman"/>
          <w:b/>
          <w:i w:val="0"/>
          <w:sz w:val="28"/>
        </w:rPr>
        <w:t>Масштабирование зависит от результатов пилота.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Одновременный полный запуск без проверки повышает риск расходования бюджета на неработающие элементы.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7. </w:t>
      </w:r>
      <w:r>
        <w:rPr>
          <w:rFonts w:ascii="Times New Roman" w:hAnsi="Times New Roman" w:eastAsia="Times New Roman"/>
          <w:b/>
          <w:i w:val="0"/>
          <w:sz w:val="28"/>
        </w:rPr>
        <w:t>Бюджет, срок и качество взаимозависимы.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Сокращение срока может потребовать внешних исполнителей и увеличить стоимость; чрезмерное сокращение бюджета способно снизить точность диагностики и доступность поддержки.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4. Техническое задание на управленческое решение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Заказчик: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проректор по учебной работе. </w:t>
      </w:r>
      <w:r>
        <w:rPr>
          <w:rFonts w:ascii="Times New Roman" w:hAnsi="Times New Roman" w:eastAsia="Times New Roman"/>
          <w:b/>
          <w:i w:val="0"/>
          <w:sz w:val="28"/>
        </w:rPr>
        <w:t>Объект решения: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система раннего выявления и сопровождения первокурсников. </w:t>
      </w:r>
      <w:r>
        <w:rPr>
          <w:rFonts w:ascii="Times New Roman" w:hAnsi="Times New Roman" w:eastAsia="Times New Roman"/>
          <w:b/>
          <w:i w:val="0"/>
          <w:sz w:val="28"/>
        </w:rPr>
        <w:t>Требуемый результат: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выбрать и запустить программу, обеспечивающую целевые показатели при соблюдении ограничений раздела 3.2. </w:t>
      </w:r>
      <w:r>
        <w:rPr>
          <w:rFonts w:ascii="Times New Roman" w:hAnsi="Times New Roman" w:eastAsia="Times New Roman"/>
          <w:b/>
          <w:i w:val="0"/>
          <w:sz w:val="28"/>
        </w:rPr>
        <w:t>Горизонт оценки: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один учебный год с контрольной точкой после первого семестра. </w:t>
      </w:r>
      <w:r>
        <w:rPr>
          <w:rFonts w:ascii="Times New Roman" w:hAnsi="Times New Roman" w:eastAsia="Times New Roman"/>
          <w:b/>
          <w:i w:val="0"/>
          <w:sz w:val="28"/>
        </w:rPr>
        <w:t>Обязательные результаты: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диагностический охват 1200 студентов, адресная поддержка до 400 студентов, измеримые показатели и возможность корректировки. </w:t>
      </w:r>
      <w:r>
        <w:rPr>
          <w:rFonts w:ascii="Times New Roman" w:hAnsi="Times New Roman" w:eastAsia="Times New Roman"/>
          <w:b/>
          <w:i w:val="0"/>
          <w:sz w:val="28"/>
        </w:rPr>
        <w:t>Недопустимые последствия: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превышение бюджета 4,5 млн руб., нагрузка преподавателя более 2 часов в неделю, нарушение требований к персональным данным и запуск позднее установленного срока.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5. Альтернативы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0"/>
        <w:gridCol w:w="1459"/>
        <w:gridCol w:w="3618"/>
        <w:gridCol w:w="571"/>
        <w:gridCol w:w="650"/>
        <w:gridCol w:w="889"/>
        <w:gridCol w:w="1608"/>
      </w:tblGrid>
      <w:tr>
        <w:trPr>
          <w:cantSplit/>
          <w:tblHeader w:val="true"/>
        </w:trPr>
        <w:tc>
          <w:tcPr>
            <w:tcW w:type="dxa" w:w="5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Код</w:t>
            </w:r>
          </w:p>
        </w:tc>
        <w:tc>
          <w:tcPr>
            <w:tcW w:type="dxa" w:w="14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Альтернатива</w:t>
            </w:r>
          </w:p>
        </w:tc>
        <w:tc>
          <w:tcPr>
            <w:tcW w:type="dxa" w:w="36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Состав</w:t>
            </w:r>
          </w:p>
        </w:tc>
        <w:tc>
          <w:tcPr>
            <w:tcW w:type="dxa" w:w="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Бюджет, млн руб.</w:t>
            </w:r>
          </w:p>
        </w:tc>
        <w:tc>
          <w:tcPr>
            <w:tcW w:type="dxa" w:w="6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Срок запуска</w:t>
            </w:r>
          </w:p>
        </w:tc>
        <w:tc>
          <w:tcPr>
            <w:tcW w:type="dxa" w:w="8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Нагрузка преподавателя</w:t>
            </w:r>
          </w:p>
        </w:tc>
        <w:tc>
          <w:tcPr>
            <w:tcW w:type="dxa" w:w="1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Экспертный прогноз</w:t>
            </w:r>
          </w:p>
        </w:tc>
      </w:tr>
      <w:tr>
        <w:trPr>
          <w:cantSplit/>
        </w:trPr>
        <w:tc>
          <w:tcPr>
            <w:tcW w:type="dxa" w:w="5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</w:t>
            </w:r>
          </w:p>
        </w:tc>
        <w:tc>
          <w:tcPr>
            <w:tcW w:type="dxa" w:w="14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«Цифровая поддержка»</w:t>
            </w:r>
          </w:p>
        </w:tc>
        <w:tc>
          <w:tcPr>
            <w:tcW w:type="dxa" w:w="36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Диагностика в LMS, единый навигатор курса, автоматические напоминания и панель показателей для всех 1200 студентов.</w:t>
            </w:r>
          </w:p>
        </w:tc>
        <w:tc>
          <w:tcPr>
            <w:tcW w:type="dxa" w:w="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3,2</w:t>
            </w:r>
          </w:p>
        </w:tc>
        <w:tc>
          <w:tcPr>
            <w:tcW w:type="dxa" w:w="6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 месяца</w:t>
            </w:r>
          </w:p>
        </w:tc>
        <w:tc>
          <w:tcPr>
            <w:tcW w:type="dxa" w:w="8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0,8 ч/нед.</w:t>
            </w:r>
          </w:p>
        </w:tc>
        <w:tc>
          <w:tcPr>
            <w:tcW w:type="dxa" w:w="1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Задолженности 21%; сохранность 91%.</w:t>
            </w:r>
          </w:p>
        </w:tc>
      </w:tr>
      <w:tr>
        <w:trPr>
          <w:cantSplit/>
        </w:trPr>
        <w:tc>
          <w:tcPr>
            <w:tcW w:type="dxa" w:w="5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</w:t>
            </w:r>
          </w:p>
        </w:tc>
        <w:tc>
          <w:tcPr>
            <w:tcW w:type="dxa" w:w="14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«Наставнический центр»</w:t>
            </w:r>
          </w:p>
        </w:tc>
        <w:tc>
          <w:tcPr>
            <w:tcW w:type="dxa" w:w="36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Студенты-наставники, групповые консультации и ручное выявление группы риска до 400 человек.</w:t>
            </w:r>
          </w:p>
        </w:tc>
        <w:tc>
          <w:tcPr>
            <w:tcW w:type="dxa" w:w="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2,6</w:t>
            </w:r>
          </w:p>
        </w:tc>
        <w:tc>
          <w:tcPr>
            <w:tcW w:type="dxa" w:w="6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месяца</w:t>
            </w:r>
          </w:p>
        </w:tc>
        <w:tc>
          <w:tcPr>
            <w:tcW w:type="dxa" w:w="8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2,0 ч/нед.</w:t>
            </w:r>
          </w:p>
        </w:tc>
        <w:tc>
          <w:tcPr>
            <w:tcW w:type="dxa" w:w="1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Задолженности 20%; сохранность 92%.</w:t>
            </w:r>
          </w:p>
        </w:tc>
      </w:tr>
      <w:tr>
        <w:trPr>
          <w:cantSplit/>
        </w:trPr>
        <w:tc>
          <w:tcPr>
            <w:tcW w:type="dxa" w:w="5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</w:t>
            </w:r>
          </w:p>
        </w:tc>
        <w:tc>
          <w:tcPr>
            <w:tcW w:type="dxa" w:w="14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«Гибридная адресная программа»</w:t>
            </w:r>
          </w:p>
        </w:tc>
        <w:tc>
          <w:tcPr>
            <w:tcW w:type="dxa" w:w="36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LMS-диагностика и навигатор для всех; наставники, групповые консультации и еженедельная обратная связь для группы риска.</w:t>
            </w:r>
          </w:p>
        </w:tc>
        <w:tc>
          <w:tcPr>
            <w:tcW w:type="dxa" w:w="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4,2</w:t>
            </w:r>
          </w:p>
        </w:tc>
        <w:tc>
          <w:tcPr>
            <w:tcW w:type="dxa" w:w="6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 месяца</w:t>
            </w:r>
          </w:p>
        </w:tc>
        <w:tc>
          <w:tcPr>
            <w:tcW w:type="dxa" w:w="8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1,6 ч/нед.</w:t>
            </w:r>
          </w:p>
        </w:tc>
        <w:tc>
          <w:tcPr>
            <w:tcW w:type="dxa" w:w="1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Задолженности 17%; сохранность 94%.</w:t>
            </w:r>
          </w:p>
        </w:tc>
      </w:tr>
      <w:tr>
        <w:trPr>
          <w:cantSplit/>
        </w:trPr>
        <w:tc>
          <w:tcPr>
            <w:tcW w:type="dxa" w:w="5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</w:t>
            </w:r>
          </w:p>
        </w:tc>
        <w:tc>
          <w:tcPr>
            <w:tcW w:type="dxa" w:w="145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«Персональное интенсивное сопровождение»</w:t>
            </w:r>
          </w:p>
        </w:tc>
        <w:tc>
          <w:tcPr>
            <w:tcW w:type="dxa" w:w="36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Индивидуальный тьютор, персональный учебный план и дополнительные занятия для каждого студента группы риска.</w:t>
            </w:r>
          </w:p>
        </w:tc>
        <w:tc>
          <w:tcPr>
            <w:tcW w:type="dxa" w:w="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6,8</w:t>
            </w:r>
          </w:p>
        </w:tc>
        <w:tc>
          <w:tcPr>
            <w:tcW w:type="dxa" w:w="6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 месяцев</w:t>
            </w:r>
          </w:p>
        </w:tc>
        <w:tc>
          <w:tcPr>
            <w:tcW w:type="dxa" w:w="8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 ч/нед.</w:t>
            </w:r>
          </w:p>
        </w:tc>
        <w:tc>
          <w:tcPr>
            <w:tcW w:type="dxa" w:w="1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Задолженности 14%; сохранность 95%.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Альтернатива Г показывает высокий возможный эффект, но исходно нарушает три обязательных ограничения - бюджет, срок и допустимую нагрузку. Она сохраняется в анализе как сравнительный эталон максимальной интенсивности, но не является допустимым вариантом первого года.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6. Дерево целей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Генеральная цель: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 концу учебного года снизить долю первокурсников с академическими задолженностями до 18% или менее и повысить сохранность контингента до 93% или более при бюджете не выше 4,5 млн руб.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4863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6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Рисунок 1 - Дерево целей программы сопровождения первокурсников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Дерево построено по принципам чёткой иерархии и полноты: генеральная цель разделена на направления, направления - на измеримые задачи, а для задач определены средства достижения [1, с. 147–149].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7. Коллективная экспертиза дерева целей и альтернатив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7.1. Формирование экспертной группы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экспертную группу включены пять компетентностных позиций: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96"/>
        <w:gridCol w:w="4366"/>
        <w:gridCol w:w="1473"/>
        <w:gridCol w:w="1220"/>
      </w:tblGrid>
      <w:tr>
        <w:trPr>
          <w:cantSplit/>
          <w:tblHeader w:val="true"/>
        </w:trPr>
        <w:tc>
          <w:tcPr>
            <w:tcW w:type="dxa" w:w="2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Экспертная позиция</w:t>
            </w:r>
          </w:p>
        </w:tc>
        <w:tc>
          <w:tcPr>
            <w:tcW w:type="dxa" w:w="43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Область компетенции</w:t>
            </w:r>
          </w:p>
        </w:tc>
        <w:tc>
          <w:tcPr>
            <w:tcW w:type="dxa" w:w="147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Коэффициент компетентности</w:t>
            </w:r>
          </w:p>
        </w:tc>
        <w:tc>
          <w:tcPr>
            <w:tcW w:type="dxa" w:w="12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Нормированный вес</w:t>
            </w:r>
          </w:p>
        </w:tc>
      </w:tr>
      <w:tr>
        <w:trPr>
          <w:cantSplit/>
        </w:trPr>
        <w:tc>
          <w:tcPr>
            <w:tcW w:type="dxa" w:w="2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Э1. Учебное управление</w:t>
            </w:r>
          </w:p>
        </w:tc>
        <w:tc>
          <w:tcPr>
            <w:tcW w:type="dxa" w:w="43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Регламенты, академические показатели, организация процесса</w:t>
            </w:r>
          </w:p>
        </w:tc>
        <w:tc>
          <w:tcPr>
            <w:tcW w:type="dxa" w:w="147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0,90</w:t>
            </w:r>
          </w:p>
        </w:tc>
        <w:tc>
          <w:tcPr>
            <w:tcW w:type="dxa" w:w="12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0,221</w:t>
            </w:r>
          </w:p>
        </w:tc>
      </w:tr>
      <w:tr>
        <w:trPr>
          <w:cantSplit/>
        </w:trPr>
        <w:tc>
          <w:tcPr>
            <w:tcW w:type="dxa" w:w="2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Э2. Преподаватель-методист</w:t>
            </w:r>
          </w:p>
        </w:tc>
        <w:tc>
          <w:tcPr>
            <w:tcW w:type="dxa" w:w="43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Методика обучения, консультации, нагрузка преподавателей</w:t>
            </w:r>
          </w:p>
        </w:tc>
        <w:tc>
          <w:tcPr>
            <w:tcW w:type="dxa" w:w="147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0,85</w:t>
            </w:r>
          </w:p>
        </w:tc>
        <w:tc>
          <w:tcPr>
            <w:tcW w:type="dxa" w:w="12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0,208</w:t>
            </w:r>
          </w:p>
        </w:tc>
      </w:tr>
      <w:tr>
        <w:trPr>
          <w:cantSplit/>
        </w:trPr>
        <w:tc>
          <w:tcPr>
            <w:tcW w:type="dxa" w:w="2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Э3. ИТ-специалист</w:t>
            </w:r>
          </w:p>
        </w:tc>
        <w:tc>
          <w:tcPr>
            <w:tcW w:type="dxa" w:w="43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LMS, данные, интеграция и информационная безопасность</w:t>
            </w:r>
          </w:p>
        </w:tc>
        <w:tc>
          <w:tcPr>
            <w:tcW w:type="dxa" w:w="147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0,80</w:t>
            </w:r>
          </w:p>
        </w:tc>
        <w:tc>
          <w:tcPr>
            <w:tcW w:type="dxa" w:w="12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0,196</w:t>
            </w:r>
          </w:p>
        </w:tc>
      </w:tr>
      <w:tr>
        <w:trPr>
          <w:cantSplit/>
        </w:trPr>
        <w:tc>
          <w:tcPr>
            <w:tcW w:type="dxa" w:w="2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Э4. Экономист</w:t>
            </w:r>
          </w:p>
        </w:tc>
        <w:tc>
          <w:tcPr>
            <w:tcW w:type="dxa" w:w="43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Бюджет, трудоёмкость, закупки и устойчивость затрат</w:t>
            </w:r>
          </w:p>
        </w:tc>
        <w:tc>
          <w:tcPr>
            <w:tcW w:type="dxa" w:w="147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0,78</w:t>
            </w:r>
          </w:p>
        </w:tc>
        <w:tc>
          <w:tcPr>
            <w:tcW w:type="dxa" w:w="12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0,191</w:t>
            </w:r>
          </w:p>
        </w:tc>
      </w:tr>
      <w:tr>
        <w:trPr>
          <w:cantSplit/>
        </w:trPr>
        <w:tc>
          <w:tcPr>
            <w:tcW w:type="dxa" w:w="22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Э5. Представитель студентов</w:t>
            </w:r>
          </w:p>
        </w:tc>
        <w:tc>
          <w:tcPr>
            <w:tcW w:type="dxa" w:w="43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Доступность поддержки, вовлечённость и пользовательский опыт</w:t>
            </w:r>
          </w:p>
        </w:tc>
        <w:tc>
          <w:tcPr>
            <w:tcW w:type="dxa" w:w="147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12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0,184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коэффициенты выше рекомендуемого минимального уровня 0,67, указанного в учебном пособии [1, с. 148]. Нормированные веса получены делением коэффициента каждого эксперта на сумму коэффициентов 4,08.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7.2. Организация экспертизы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Экспертиза проведена в два тура.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Эксперты получили одинаковое техническое задание, дерево целей, количественные ограничения и описание альтернатив.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В первом туре каждый эксперт независимо проверил полноту дерева целей и выставил оценки вариантам по шкале от 1 до 5.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Координатор обезличенно обобщил замечания, средние оценки и расхождения.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Во втором туре эксперты уточнили оценки после знакомства с общей аргументацией, не обсуждая авторитет и личность участников.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Итоговый балл альтернативы рассчитан с учётом нормированных коэффициентов компетентности.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Согласованность мнений проверена коэффициентом вариации: чем он меньше, тем ближе позиции экспертов.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7.3. Критерии экспертной оценки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13"/>
        <w:gridCol w:w="1015"/>
        <w:gridCol w:w="4927"/>
      </w:tblGrid>
      <w:tr>
        <w:trPr>
          <w:cantSplit/>
          <w:tblHeader w:val="true"/>
        </w:trPr>
        <w:tc>
          <w:tcPr>
            <w:tcW w:type="dxa" w:w="34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Критерий</w:t>
            </w:r>
          </w:p>
        </w:tc>
        <w:tc>
          <w:tcPr>
            <w:tcW w:type="dxa" w:w="10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Вес</w:t>
            </w:r>
          </w:p>
        </w:tc>
        <w:tc>
          <w:tcPr>
            <w:tcW w:type="dxa" w:w="49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 оценки</w:t>
            </w:r>
          </w:p>
        </w:tc>
      </w:tr>
      <w:tr>
        <w:trPr>
          <w:cantSplit/>
        </w:trPr>
        <w:tc>
          <w:tcPr>
            <w:tcW w:type="dxa" w:w="34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К1. Снижение академических задолженностей</w:t>
            </w:r>
          </w:p>
        </w:tc>
        <w:tc>
          <w:tcPr>
            <w:tcW w:type="dxa" w:w="10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0,30</w:t>
            </w:r>
          </w:p>
        </w:tc>
        <w:tc>
          <w:tcPr>
            <w:tcW w:type="dxa" w:w="49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Вероятность достижения уровня 18% или ниже.</w:t>
            </w:r>
          </w:p>
        </w:tc>
      </w:tr>
      <w:tr>
        <w:trPr>
          <w:cantSplit/>
        </w:trPr>
        <w:tc>
          <w:tcPr>
            <w:tcW w:type="dxa" w:w="34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К2. Сохранность контингента</w:t>
            </w:r>
          </w:p>
        </w:tc>
        <w:tc>
          <w:tcPr>
            <w:tcW w:type="dxa" w:w="10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0,20</w:t>
            </w:r>
          </w:p>
        </w:tc>
        <w:tc>
          <w:tcPr>
            <w:tcW w:type="dxa" w:w="49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Вероятность достижения уровня 93% или выше.</w:t>
            </w:r>
          </w:p>
        </w:tc>
      </w:tr>
      <w:tr>
        <w:trPr>
          <w:cantSplit/>
        </w:trPr>
        <w:tc>
          <w:tcPr>
            <w:tcW w:type="dxa" w:w="34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К3. Ресурсная и бюджетная реализуемость</w:t>
            </w:r>
          </w:p>
        </w:tc>
        <w:tc>
          <w:tcPr>
            <w:tcW w:type="dxa" w:w="10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0,20</w:t>
            </w:r>
          </w:p>
        </w:tc>
        <w:tc>
          <w:tcPr>
            <w:tcW w:type="dxa" w:w="49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Соблюдение бюджета и достаточность ресурсов.</w:t>
            </w:r>
          </w:p>
        </w:tc>
      </w:tr>
      <w:tr>
        <w:trPr>
          <w:cantSplit/>
        </w:trPr>
        <w:tc>
          <w:tcPr>
            <w:tcW w:type="dxa" w:w="34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К4. Срок и организационная выполнимость</w:t>
            </w:r>
          </w:p>
        </w:tc>
        <w:tc>
          <w:tcPr>
            <w:tcW w:type="dxa" w:w="10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0,15</w:t>
            </w:r>
          </w:p>
        </w:tc>
        <w:tc>
          <w:tcPr>
            <w:tcW w:type="dxa" w:w="49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Возможность запуска за четыре месяца и управляемость проекта.</w:t>
            </w:r>
          </w:p>
        </w:tc>
      </w:tr>
      <w:tr>
        <w:trPr>
          <w:cantSplit/>
        </w:trPr>
        <w:tc>
          <w:tcPr>
            <w:tcW w:type="dxa" w:w="34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К5. Дополнительная нагрузка</w:t>
            </w:r>
          </w:p>
        </w:tc>
        <w:tc>
          <w:tcPr>
            <w:tcW w:type="dxa" w:w="10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0,10</w:t>
            </w:r>
          </w:p>
        </w:tc>
        <w:tc>
          <w:tcPr>
            <w:tcW w:type="dxa" w:w="49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Соблюдение ограничения 2 часа в неделю.</w:t>
            </w:r>
          </w:p>
        </w:tc>
      </w:tr>
      <w:tr>
        <w:trPr>
          <w:cantSplit/>
        </w:trPr>
        <w:tc>
          <w:tcPr>
            <w:tcW w:type="dxa" w:w="34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К6. Масштабируемость и риск</w:t>
            </w:r>
          </w:p>
        </w:tc>
        <w:tc>
          <w:tcPr>
            <w:tcW w:type="dxa" w:w="10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0,05</w:t>
            </w:r>
          </w:p>
        </w:tc>
        <w:tc>
          <w:tcPr>
            <w:tcW w:type="dxa" w:w="49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Возможность расширения после пилота и управляемость неблагоприятных событий.</w:t>
            </w:r>
          </w:p>
        </w:tc>
      </w:tr>
      <w:tr>
        <w:trPr>
          <w:cantSplit/>
        </w:trPr>
        <w:tc>
          <w:tcPr>
            <w:tcW w:type="dxa" w:w="34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Итого</w:t>
            </w:r>
          </w:p>
        </w:tc>
        <w:tc>
          <w:tcPr>
            <w:tcW w:type="dxa" w:w="10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1,00</w:t>
            </w:r>
          </w:p>
        </w:tc>
        <w:tc>
          <w:tcPr>
            <w:tcW w:type="dxa" w:w="49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</w:p>
        </w:tc>
      </w:tr>
    </w:tbl>
    <w:p>
      <w:pPr>
        <w:spacing w:line="240" w:lineRule="auto" w:before="0"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7.4. Веса направлений дерева целей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Эксперты распределили важность между четырьмя направлениями: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31"/>
        <w:gridCol w:w="830"/>
        <w:gridCol w:w="5794"/>
      </w:tblGrid>
      <w:tr>
        <w:trPr>
          <w:cantSplit/>
          <w:tblHeader w:val="true"/>
        </w:trPr>
        <w:tc>
          <w:tcPr>
            <w:tcW w:type="dxa" w:w="273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Направление дерева целей</w:t>
            </w:r>
          </w:p>
        </w:tc>
        <w:tc>
          <w:tcPr>
            <w:tcW w:type="dxa" w:w="8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Вес</w:t>
            </w:r>
          </w:p>
        </w:tc>
        <w:tc>
          <w:tcPr>
            <w:tcW w:type="dxa" w:w="579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Наиболее значимые задачи внутри направления</w:t>
            </w:r>
          </w:p>
        </w:tc>
      </w:tr>
      <w:tr>
        <w:trPr>
          <w:cantSplit/>
        </w:trPr>
        <w:tc>
          <w:tcPr>
            <w:tcW w:type="dxa" w:w="273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Раннее выявление риска</w:t>
            </w:r>
          </w:p>
        </w:tc>
        <w:tc>
          <w:tcPr>
            <w:tcW w:type="dxa" w:w="8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579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Диагностика в первые четыре недели - 0,55; панель риска - 0,45.</w:t>
            </w:r>
          </w:p>
        </w:tc>
      </w:tr>
      <w:tr>
        <w:trPr>
          <w:cantSplit/>
        </w:trPr>
        <w:tc>
          <w:tcPr>
            <w:tcW w:type="dxa" w:w="273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Адресная поддержка</w:t>
            </w:r>
          </w:p>
        </w:tc>
        <w:tc>
          <w:tcPr>
            <w:tcW w:type="dxa" w:w="8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0,35</w:t>
            </w:r>
          </w:p>
        </w:tc>
        <w:tc>
          <w:tcPr>
            <w:tcW w:type="dxa" w:w="579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Наставничество - 0,40; групповые консультации - 0,35; маршрут сложного случая - 0,25.</w:t>
            </w:r>
          </w:p>
        </w:tc>
      </w:tr>
      <w:tr>
        <w:trPr>
          <w:cantSplit/>
        </w:trPr>
        <w:tc>
          <w:tcPr>
            <w:tcW w:type="dxa" w:w="273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Организация обучения и обратной связи</w:t>
            </w:r>
          </w:p>
        </w:tc>
        <w:tc>
          <w:tcPr>
            <w:tcW w:type="dxa" w:w="8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579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Навигатор курса - 0,40; еженедельная обратная связь - 0,35; материалы по типовым ошибкам - 0,25.</w:t>
            </w:r>
          </w:p>
        </w:tc>
      </w:tr>
      <w:tr>
        <w:trPr>
          <w:cantSplit/>
        </w:trPr>
        <w:tc>
          <w:tcPr>
            <w:tcW w:type="dxa" w:w="273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Ресурсная устойчивость и контроль</w:t>
            </w:r>
          </w:p>
        </w:tc>
        <w:tc>
          <w:tcPr>
            <w:tcW w:type="dxa" w:w="83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0,15</w:t>
            </w:r>
          </w:p>
        </w:tc>
        <w:tc>
          <w:tcPr>
            <w:tcW w:type="dxa" w:w="579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Бюджет - 0,30; нагрузка - 0,25; срок и защита данных - 0,25; контрольная точка - 0,20.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Наибольший вес получило направление адресной поддержки - 0,35. Среди отдельных задач максимальны глобальные веса наставничества - 0,140; ранней диагностики - 0,138; групповых консультаций - 0,123; панели риска - 0,113; навигатора курса - 0,100. Это означает, что сильная программа должна сочетать цифровое выявление риска с человеческой поддержкой.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7.5. Индивидуальные и коллективные оценки альтернатив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25"/>
        <w:gridCol w:w="795"/>
        <w:gridCol w:w="795"/>
        <w:gridCol w:w="795"/>
        <w:gridCol w:w="795"/>
        <w:gridCol w:w="795"/>
        <w:gridCol w:w="1535"/>
        <w:gridCol w:w="1220"/>
      </w:tblGrid>
      <w:tr>
        <w:trPr>
          <w:cantSplit/>
          <w:tblHeader w:val="true"/>
        </w:trPr>
        <w:tc>
          <w:tcPr>
            <w:tcW w:type="dxa" w:w="262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Альтернатива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Э1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Э2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Э3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Э4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Э5</w:t>
            </w:r>
          </w:p>
        </w:tc>
        <w:tc>
          <w:tcPr>
            <w:tcW w:type="dxa" w:w="15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Взвешенная коллективная оценка</w:t>
            </w:r>
          </w:p>
        </w:tc>
        <w:tc>
          <w:tcPr>
            <w:tcW w:type="dxa" w:w="12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Коэффициент вариации</w:t>
            </w:r>
          </w:p>
        </w:tc>
      </w:tr>
      <w:tr>
        <w:trPr>
          <w:cantSplit/>
        </w:trPr>
        <w:tc>
          <w:tcPr>
            <w:tcW w:type="dxa" w:w="262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А. Цифровая поддержка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3,7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3,6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4,3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4,1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3,4</w:t>
            </w:r>
          </w:p>
        </w:tc>
        <w:tc>
          <w:tcPr>
            <w:tcW w:type="dxa" w:w="15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3,82</w:t>
            </w:r>
          </w:p>
        </w:tc>
        <w:tc>
          <w:tcPr>
            <w:tcW w:type="dxa" w:w="12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8,7%</w:t>
            </w:r>
          </w:p>
        </w:tc>
      </w:tr>
      <w:tr>
        <w:trPr>
          <w:cantSplit/>
        </w:trPr>
        <w:tc>
          <w:tcPr>
            <w:tcW w:type="dxa" w:w="262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Б. Наставнический центр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3,8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4,2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3,4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4,0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4,4</w:t>
            </w:r>
          </w:p>
        </w:tc>
        <w:tc>
          <w:tcPr>
            <w:tcW w:type="dxa" w:w="15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3,95</w:t>
            </w:r>
          </w:p>
        </w:tc>
        <w:tc>
          <w:tcPr>
            <w:tcW w:type="dxa" w:w="12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8,7%</w:t>
            </w:r>
          </w:p>
        </w:tc>
      </w:tr>
      <w:tr>
        <w:trPr>
          <w:cantSplit/>
        </w:trPr>
        <w:tc>
          <w:tcPr>
            <w:tcW w:type="dxa" w:w="262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В. Гибридная адресная программа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4,7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4,8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4,3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4,6</w:t>
            </w:r>
          </w:p>
        </w:tc>
        <w:tc>
          <w:tcPr>
            <w:tcW w:type="dxa" w:w="15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4,59</w:t>
            </w:r>
          </w:p>
        </w:tc>
        <w:tc>
          <w:tcPr>
            <w:tcW w:type="dxa" w:w="12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3,8%</w:t>
            </w:r>
          </w:p>
        </w:tc>
      </w:tr>
      <w:tr>
        <w:trPr>
          <w:cantSplit/>
        </w:trPr>
        <w:tc>
          <w:tcPr>
            <w:tcW w:type="dxa" w:w="262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Г. Персональное интенсивное сопровождение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2,7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2,6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1,8</w:t>
            </w:r>
          </w:p>
        </w:tc>
        <w:tc>
          <w:tcPr>
            <w:tcW w:type="dxa" w:w="79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2,4</w:t>
            </w:r>
          </w:p>
        </w:tc>
        <w:tc>
          <w:tcPr>
            <w:tcW w:type="dxa" w:w="153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2,41</w:t>
            </w:r>
          </w:p>
        </w:tc>
        <w:tc>
          <w:tcPr>
            <w:tcW w:type="dxa" w:w="12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13,2%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Коллективная экспертиза выделила вариант В: он имеет максимальную оценку 4,59 и одновременно наименьший коэффициент вариации 3,8%, то есть эксперты не только оценили его выше, но и проявили наибольшую согласованность. Вариант Г получил низкую оценку вследствие нарушения обязательных ограничений.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8. Анализ ранее не применявшимся методом 1: морфологический анализ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Морфологический анализ расширяет область поиска посредством выделения характеристик задачи, вариантов их реализации и проверки совместимости комбинаций [1, с. 143–144].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8.1. Морфологическая матрица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36"/>
        <w:gridCol w:w="1914"/>
        <w:gridCol w:w="1644"/>
        <w:gridCol w:w="1727"/>
        <w:gridCol w:w="2634"/>
      </w:tblGrid>
      <w:tr>
        <w:trPr>
          <w:cantSplit/>
          <w:tblHeader w:val="true"/>
        </w:trPr>
        <w:tc>
          <w:tcPr>
            <w:tcW w:type="dxa" w:w="14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Параметр системы</w:t>
            </w:r>
          </w:p>
        </w:tc>
        <w:tc>
          <w:tcPr>
            <w:tcW w:type="dxa" w:w="19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 1</w:t>
            </w:r>
          </w:p>
        </w:tc>
        <w:tc>
          <w:tcPr>
            <w:tcW w:type="dxa" w:w="16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 2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 3</w:t>
            </w:r>
          </w:p>
        </w:tc>
        <w:tc>
          <w:tcPr>
            <w:tcW w:type="dxa" w:w="26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 4</w:t>
            </w:r>
          </w:p>
        </w:tc>
      </w:tr>
      <w:tr>
        <w:trPr>
          <w:cantSplit/>
        </w:trPr>
        <w:tc>
          <w:tcPr>
            <w:tcW w:type="dxa" w:w="14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Выявление риска</w:t>
            </w:r>
          </w:p>
        </w:tc>
        <w:tc>
          <w:tcPr>
            <w:tcW w:type="dxa" w:w="19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Нет отдельной диагностики</w:t>
            </w:r>
          </w:p>
        </w:tc>
        <w:tc>
          <w:tcPr>
            <w:tcW w:type="dxa" w:w="16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Ручные сигналы преподавателя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LMS-диагностика</w:t>
            </w:r>
          </w:p>
        </w:tc>
        <w:tc>
          <w:tcPr>
            <w:tcW w:type="dxa" w:w="26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 + данные об активности и сроках</w:t>
            </w:r>
          </w:p>
        </w:tc>
      </w:tr>
      <w:tr>
        <w:trPr>
          <w:cantSplit/>
        </w:trPr>
        <w:tc>
          <w:tcPr>
            <w:tcW w:type="dxa" w:w="14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Охват</w:t>
            </w:r>
          </w:p>
        </w:tc>
        <w:tc>
          <w:tcPr>
            <w:tcW w:type="dxa" w:w="19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Обратившиеся добровольно</w:t>
            </w:r>
          </w:p>
        </w:tc>
        <w:tc>
          <w:tcPr>
            <w:tcW w:type="dxa" w:w="16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Группа риска до 400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Пилот 600 студентов</w:t>
            </w:r>
          </w:p>
        </w:tc>
        <w:tc>
          <w:tcPr>
            <w:tcW w:type="dxa" w:w="26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Все 1200 студентов</w:t>
            </w:r>
          </w:p>
        </w:tc>
      </w:tr>
      <w:tr>
        <w:trPr>
          <w:cantSplit/>
        </w:trPr>
        <w:tc>
          <w:tcPr>
            <w:tcW w:type="dxa" w:w="14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Основная поддержка</w:t>
            </w:r>
          </w:p>
        </w:tc>
        <w:tc>
          <w:tcPr>
            <w:tcW w:type="dxa" w:w="19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Автоматические рекомендации</w:t>
            </w:r>
          </w:p>
        </w:tc>
        <w:tc>
          <w:tcPr>
            <w:tcW w:type="dxa" w:w="16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Студенты-наставники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Групповые консультации</w:t>
            </w:r>
          </w:p>
        </w:tc>
        <w:tc>
          <w:tcPr>
            <w:tcW w:type="dxa" w:w="26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Наставник + консультации + маршрут сложного случая</w:t>
            </w:r>
          </w:p>
        </w:tc>
      </w:tr>
      <w:tr>
        <w:trPr>
          <w:cantSplit/>
        </w:trPr>
        <w:tc>
          <w:tcPr>
            <w:tcW w:type="dxa" w:w="14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Организация материалов</w:t>
            </w:r>
          </w:p>
        </w:tc>
        <w:tc>
          <w:tcPr>
            <w:tcW w:type="dxa" w:w="19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Разрознённые страницы курсов</w:t>
            </w:r>
          </w:p>
        </w:tc>
        <w:tc>
          <w:tcPr>
            <w:tcW w:type="dxa" w:w="16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Единый навигатор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Микролекции по ошибкам</w:t>
            </w:r>
          </w:p>
        </w:tc>
        <w:tc>
          <w:tcPr>
            <w:tcW w:type="dxa" w:w="26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Навигатор + материалы по типовым ошибкам</w:t>
            </w:r>
          </w:p>
        </w:tc>
      </w:tr>
      <w:tr>
        <w:trPr>
          <w:cantSplit/>
        </w:trPr>
        <w:tc>
          <w:tcPr>
            <w:tcW w:type="dxa" w:w="14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Обратная связь</w:t>
            </w:r>
          </w:p>
        </w:tc>
        <w:tc>
          <w:tcPr>
            <w:tcW w:type="dxa" w:w="19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Только итоговый контроль</w:t>
            </w:r>
          </w:p>
        </w:tc>
        <w:tc>
          <w:tcPr>
            <w:tcW w:type="dxa" w:w="16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Ежемесячный обзор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Еженедельный короткий опрос</w:t>
            </w:r>
          </w:p>
        </w:tc>
        <w:tc>
          <w:tcPr>
            <w:tcW w:type="dxa" w:w="26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Опрос + панель показателей и реакция преподавателя</w:t>
            </w:r>
          </w:p>
        </w:tc>
      </w:tr>
      <w:tr>
        <w:trPr>
          <w:cantSplit/>
        </w:trPr>
        <w:tc>
          <w:tcPr>
            <w:tcW w:type="dxa" w:w="14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Масштабирование</w:t>
            </w:r>
          </w:p>
        </w:tc>
        <w:tc>
          <w:tcPr>
            <w:tcW w:type="dxa" w:w="191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Одновременный полный запуск</w:t>
            </w:r>
          </w:p>
        </w:tc>
        <w:tc>
          <w:tcPr>
            <w:tcW w:type="dxa" w:w="16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Один факультет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Поэтапно по факультетам</w:t>
            </w:r>
          </w:p>
        </w:tc>
        <w:tc>
          <w:tcPr>
            <w:tcW w:type="dxa" w:w="26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Контрольная точка после семестра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8.2. Проверка комбинаций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Комбинация «адресная поддержка без диагностики» исключена: невозможно обоснованно определить её получателей.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Индивидуальный тьютор для всех 400 студентов несовместим с бюджетом, сроком и нагрузкой.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Панель риска без цифрового сбора данных создаёт избыточный ручной труд.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Одновременный полный запуск без контрольной точки повышает риск масштабирования ошибки.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Только автоматические рекомендации не обеспечивают поддержку сложных и мотивационных случаев.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Наиболее совместимой комбинацией признана следующая: </w:t>
      </w:r>
      <w:r>
        <w:rPr>
          <w:rFonts w:ascii="Times New Roman" w:hAnsi="Times New Roman" w:eastAsia="Times New Roman"/>
          <w:b/>
          <w:i w:val="0"/>
          <w:sz w:val="28"/>
        </w:rPr>
        <w:t>LMS-диагностика всех 1200 студентов → выделение группы риска до 400 → наставники и групповые консультации → единый навигатор и материалы по типовым ошибкам → еженедельный опрос и панель показателей → контрольная точка после первого семестра</w:t>
      </w:r>
      <w:r>
        <w:rPr>
          <w:rFonts w:ascii="Times New Roman" w:hAnsi="Times New Roman" w:eastAsia="Times New Roman"/>
          <w:b w:val="0"/>
          <w:i w:val="0"/>
          <w:sz w:val="28"/>
        </w:rPr>
        <w:t>. Эта морфологическая комбинация соответствует альтернативе В и уточняет её состав.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9. Анализ ранее не применявшимся методом 2: метод сценариев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сценариев предназначен для анализа долгосрочных решений при нескольких правдоподобных вариантах будущего. В учебном пособии выделяются оптимистический, ожидаемый и пессимистический сценарии [1, с. 153–155].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Приняты условные экспертные вероятности: оптимистический сценарий - 0,20; ожидаемый - 0,55; пессимистический - 0,25.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23"/>
        <w:gridCol w:w="1528"/>
        <w:gridCol w:w="1058"/>
        <w:gridCol w:w="823"/>
        <w:gridCol w:w="954"/>
        <w:gridCol w:w="4169"/>
      </w:tblGrid>
      <w:tr>
        <w:trPr>
          <w:cantSplit/>
          <w:tblHeader w:val="true"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Альтернатива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Сценарий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Доля задолженностей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Сохранность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Затраты, млн руб.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Оптимистический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18,5%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93%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3,1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Автоматические инструменты активно используются.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Ожидаемый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91%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3,2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Организационный эффект есть, но человеческой поддержки недостаточно.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Пессимистический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89%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Низкое участие и запоздалое реагирование.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Оптимистический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94%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Высокая активность наставников и студентов.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Ожидаемый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92%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2,6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Поддержка полезна, но ручное выявление риска неполно.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Пессимистический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90%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2,9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Наставники перегружены, часть риска обнаружена поздно.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Оптимистический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14,5%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96%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4,1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Высокое участие и своевременная цифровая диагностика.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Ожидаемый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94%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4,2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Основные элементы работают в запланированном режиме.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Пессимистический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19,5%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92%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4,6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Задержка интеграции, низкая активность и рост затрат.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Оптимистический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97%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6,5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Интенсивная индивидуальная работа даёт максимальный эффект.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Ожидаемый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95%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6,8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Высокий эффект при недопустимых ресурсах.</w:t>
            </w:r>
          </w:p>
        </w:tc>
      </w:tr>
      <w:tr>
        <w:trPr>
          <w:cantSplit/>
        </w:trPr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</w:t>
            </w:r>
          </w:p>
        </w:tc>
        <w:tc>
          <w:tcPr>
            <w:tcW w:type="dxa" w:w="1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Пессимистический</w:t>
            </w:r>
          </w:p>
        </w:tc>
        <w:tc>
          <w:tcPr>
            <w:tcW w:type="dxa" w:w="105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18%</w:t>
            </w:r>
          </w:p>
        </w:tc>
        <w:tc>
          <w:tcPr>
            <w:tcW w:type="dxa" w:w="8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92%</w:t>
            </w:r>
          </w:p>
        </w:tc>
        <w:tc>
          <w:tcPr>
            <w:tcW w:type="dxa" w:w="9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</w:t>
            </w:r>
          </w:p>
        </w:tc>
        <w:tc>
          <w:tcPr>
            <w:tcW w:type="dxa" w:w="41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Рост затрат и кадровый дефицит.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9.1. Ожидаемые значения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2"/>
        <w:gridCol w:w="1660"/>
        <w:gridCol w:w="1379"/>
        <w:gridCol w:w="1660"/>
        <w:gridCol w:w="3804"/>
      </w:tblGrid>
      <w:tr>
        <w:trPr>
          <w:cantSplit/>
          <w:tblHeader w:val="true"/>
        </w:trPr>
        <w:tc>
          <w:tcPr>
            <w:tcW w:type="dxa" w:w="8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Альтернатива</w:t>
            </w:r>
          </w:p>
        </w:tc>
        <w:tc>
          <w:tcPr>
            <w:tcW w:type="dxa" w:w="16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Ожидаемая доля задолженностей</w:t>
            </w:r>
          </w:p>
        </w:tc>
        <w:tc>
          <w:tcPr>
            <w:tcW w:type="dxa" w:w="137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Ожидаемая сохранность</w:t>
            </w:r>
          </w:p>
        </w:tc>
        <w:tc>
          <w:tcPr>
            <w:tcW w:type="dxa" w:w="16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Ожидаемые затраты</w:t>
            </w:r>
          </w:p>
        </w:tc>
        <w:tc>
          <w:tcPr>
            <w:tcW w:type="dxa" w:w="38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Вывод</w:t>
            </w:r>
          </w:p>
        </w:tc>
      </w:tr>
      <w:tr>
        <w:trPr>
          <w:cantSplit/>
        </w:trPr>
        <w:tc>
          <w:tcPr>
            <w:tcW w:type="dxa" w:w="8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</w:t>
            </w:r>
          </w:p>
        </w:tc>
        <w:tc>
          <w:tcPr>
            <w:tcW w:type="dxa" w:w="16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21,3%</w:t>
            </w:r>
          </w:p>
        </w:tc>
        <w:tc>
          <w:tcPr>
            <w:tcW w:type="dxa" w:w="137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90,9%</w:t>
            </w:r>
          </w:p>
        </w:tc>
        <w:tc>
          <w:tcPr>
            <w:tcW w:type="dxa" w:w="16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3,26 млн руб.</w:t>
            </w:r>
          </w:p>
        </w:tc>
        <w:tc>
          <w:tcPr>
            <w:tcW w:type="dxa" w:w="38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достигает обеих основных целей.</w:t>
            </w:r>
          </w:p>
        </w:tc>
      </w:tr>
      <w:tr>
        <w:trPr>
          <w:cantSplit/>
        </w:trPr>
        <w:tc>
          <w:tcPr>
            <w:tcW w:type="dxa" w:w="8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</w:t>
            </w:r>
          </w:p>
        </w:tc>
        <w:tc>
          <w:tcPr>
            <w:tcW w:type="dxa" w:w="16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20,3%</w:t>
            </w:r>
          </w:p>
        </w:tc>
        <w:tc>
          <w:tcPr>
            <w:tcW w:type="dxa" w:w="137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91,9%</w:t>
            </w:r>
          </w:p>
        </w:tc>
        <w:tc>
          <w:tcPr>
            <w:tcW w:type="dxa" w:w="16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2,66 млн руб.</w:t>
            </w:r>
          </w:p>
        </w:tc>
        <w:tc>
          <w:tcPr>
            <w:tcW w:type="dxa" w:w="38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Улучшает ситуацию, но не достигает целевых уровней.</w:t>
            </w:r>
          </w:p>
        </w:tc>
      </w:tr>
      <w:tr>
        <w:trPr>
          <w:cantSplit/>
        </w:trPr>
        <w:tc>
          <w:tcPr>
            <w:tcW w:type="dxa" w:w="8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</w:t>
            </w:r>
          </w:p>
        </w:tc>
        <w:tc>
          <w:tcPr>
            <w:tcW w:type="dxa" w:w="16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17,1%</w:t>
            </w:r>
          </w:p>
        </w:tc>
        <w:tc>
          <w:tcPr>
            <w:tcW w:type="dxa" w:w="137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93,9%</w:t>
            </w:r>
          </w:p>
        </w:tc>
        <w:tc>
          <w:tcPr>
            <w:tcW w:type="dxa" w:w="16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4,28 млн руб.</w:t>
            </w:r>
          </w:p>
        </w:tc>
        <w:tc>
          <w:tcPr>
            <w:tcW w:type="dxa" w:w="38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Достигает целей по ожидаемому сценарию и соблюдает бюджет.</w:t>
            </w:r>
          </w:p>
        </w:tc>
      </w:tr>
      <w:tr>
        <w:trPr>
          <w:cantSplit/>
        </w:trPr>
        <w:tc>
          <w:tcPr>
            <w:tcW w:type="dxa" w:w="8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</w:t>
            </w:r>
          </w:p>
        </w:tc>
        <w:tc>
          <w:tcPr>
            <w:tcW w:type="dxa" w:w="16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14,6%</w:t>
            </w:r>
          </w:p>
        </w:tc>
        <w:tc>
          <w:tcPr>
            <w:tcW w:type="dxa" w:w="137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94,7%</w:t>
            </w:r>
          </w:p>
        </w:tc>
        <w:tc>
          <w:tcPr>
            <w:tcW w:type="dxa" w:w="16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6,92 млн руб.</w:t>
            </w:r>
          </w:p>
        </w:tc>
        <w:tc>
          <w:tcPr>
            <w:tcW w:type="dxa" w:w="380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Эффективна, но недопустима по бюджету и нагрузке.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Сценарный анализ подтверждает выбор варианта В, но выявляет уязвимость пессимистического сценария: возможны затраты 4,6 млн руб. и недостижение целевых показателей. Поэтому решение должно содержать контрольные триггеры и резервные действия.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9.2. Триггеры корректировки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если интеграция LMS задерживается более чем на две недели, временно используется защищённый реестр риска внутри университетской инфраструктуры;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если участие группы риска ниже 65%, усиливаются персональные приглашения и перераспределяются наставники;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если прогноз затрат превышает 4,4 млн руб., откладываются необязательные функции аналитической панели, но сохраняются диагностика, навигатор и поддержка;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если промежуточная доля задолженностей выше 22%, увеличивается число групповых консультаций за счёт ротации преподавателей без превышения средней нагрузки 2 часа;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если коэффициент выбытия превышает траекторию 7% за семестр, сложные случаи передаются тьютору и профильным службам.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10. Окончательное управленческое решение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Принять к реализации альтернативу В - гибридную адресную программу сопровождения первокурсников - в форме ограниченного по ресурсам пилота с контрольной точкой после первого семестра.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10.1. Состав утверждаемой программы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Провести LMS-диагностику и анализ активности всех 1200 первокурсников в первые четыре недели.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Сформировать динамическую группу риска численностью до 400 студентов.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Подготовить до 20 студенческих наставников при нормативе не более 20 подопечных на одного наставника.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Организовать групповые консультации по дисциплинам с максимальной долей задолженностей.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Создать единый навигатор курса и материалы по типовым ошибкам.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Ввести еженедельную короткую обратную связь и панель показателей для ответственных лиц.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Предусмотреть передачу сложных случаев тьютору, психологической, социальной или иной профильной службе.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10.2. Бюджет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7"/>
        <w:gridCol w:w="2148"/>
      </w:tblGrid>
      <w:tr>
        <w:trPr>
          <w:cantSplit/>
          <w:tblHeader w:val="true"/>
        </w:trPr>
        <w:tc>
          <w:tcPr>
            <w:tcW w:type="dxa" w:w="72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Статья</w:t>
            </w:r>
          </w:p>
        </w:tc>
        <w:tc>
          <w:tcPr>
            <w:tcW w:type="dxa" w:w="21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Сумма, млн руб.</w:t>
            </w:r>
          </w:p>
        </w:tc>
      </w:tr>
      <w:tr>
        <w:trPr>
          <w:cantSplit/>
        </w:trPr>
        <w:tc>
          <w:tcPr>
            <w:tcW w:type="dxa" w:w="72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Настройка LMS, диагностики и панели показателей</w:t>
            </w:r>
          </w:p>
        </w:tc>
        <w:tc>
          <w:tcPr>
            <w:tcW w:type="dxa" w:w="21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72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Создание навигаторов и учебных материалов</w:t>
            </w:r>
          </w:p>
        </w:tc>
        <w:tc>
          <w:tcPr>
            <w:tcW w:type="dxa" w:w="21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0,8</w:t>
            </w:r>
          </w:p>
        </w:tc>
      </w:tr>
      <w:tr>
        <w:trPr>
          <w:cantSplit/>
        </w:trPr>
        <w:tc>
          <w:tcPr>
            <w:tcW w:type="dxa" w:w="72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Подготовка и выплаты студенческим наставникам</w:t>
            </w:r>
          </w:p>
        </w:tc>
        <w:tc>
          <w:tcPr>
            <w:tcW w:type="dxa" w:w="21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72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Методическая подготовка и организация консультаций</w:t>
            </w:r>
          </w:p>
        </w:tc>
        <w:tc>
          <w:tcPr>
            <w:tcW w:type="dxa" w:w="21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0,4</w:t>
            </w:r>
          </w:p>
        </w:tc>
      </w:tr>
      <w:tr>
        <w:trPr>
          <w:cantSplit/>
        </w:trPr>
        <w:tc>
          <w:tcPr>
            <w:tcW w:type="dxa" w:w="72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Резерв на риски и корректировки</w:t>
            </w:r>
          </w:p>
        </w:tc>
        <w:tc>
          <w:tcPr>
            <w:tcW w:type="dxa" w:w="21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0,4</w:t>
            </w:r>
          </w:p>
        </w:tc>
      </w:tr>
      <w:tr>
        <w:trPr>
          <w:cantSplit/>
        </w:trPr>
        <w:tc>
          <w:tcPr>
            <w:tcW w:type="dxa" w:w="72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Итого</w:t>
            </w:r>
          </w:p>
        </w:tc>
        <w:tc>
          <w:tcPr>
            <w:tcW w:type="dxa" w:w="214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4,2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10.3. Этапы и показатели контроля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55"/>
        <w:gridCol w:w="3116"/>
        <w:gridCol w:w="4884"/>
      </w:tblGrid>
      <w:tr>
        <w:trPr>
          <w:cantSplit/>
          <w:tblHeader w:val="true"/>
        </w:trPr>
        <w:tc>
          <w:tcPr>
            <w:tcW w:type="dxa" w:w="1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Срок</w:t>
            </w:r>
          </w:p>
        </w:tc>
        <w:tc>
          <w:tcPr>
            <w:tcW w:type="dxa" w:w="31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Управленческий результат</w:t>
            </w:r>
          </w:p>
        </w:tc>
        <w:tc>
          <w:tcPr>
            <w:tcW w:type="dxa" w:w="4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Контрольный показатель</w:t>
            </w:r>
          </w:p>
        </w:tc>
      </w:tr>
      <w:tr>
        <w:trPr>
          <w:cantSplit/>
        </w:trPr>
        <w:tc>
          <w:tcPr>
            <w:tcW w:type="dxa" w:w="1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Месяц 1</w:t>
            </w:r>
          </w:p>
        </w:tc>
        <w:tc>
          <w:tcPr>
            <w:tcW w:type="dxa" w:w="31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Утверждение технического задания, ответственных и состава данных</w:t>
            </w:r>
          </w:p>
        </w:tc>
        <w:tc>
          <w:tcPr>
            <w:tcW w:type="dxa" w:w="4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Бюджет утверждён; требования к данным согласованы.</w:t>
            </w:r>
          </w:p>
        </w:tc>
      </w:tr>
      <w:tr>
        <w:trPr>
          <w:cantSplit/>
        </w:trPr>
        <w:tc>
          <w:tcPr>
            <w:tcW w:type="dxa" w:w="1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Месяцы 2–3</w:t>
            </w:r>
          </w:p>
        </w:tc>
        <w:tc>
          <w:tcPr>
            <w:tcW w:type="dxa" w:w="31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Настройка LMS, шаблонов курса и подготовка наставников</w:t>
            </w:r>
          </w:p>
        </w:tc>
        <w:tc>
          <w:tcPr>
            <w:tcW w:type="dxa" w:w="4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Система протестирована; до 20 наставников прошли обучение.</w:t>
            </w:r>
          </w:p>
        </w:tc>
      </w:tr>
      <w:tr>
        <w:trPr>
          <w:cantSplit/>
        </w:trPr>
        <w:tc>
          <w:tcPr>
            <w:tcW w:type="dxa" w:w="1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Месяц 4</w:t>
            </w:r>
          </w:p>
        </w:tc>
        <w:tc>
          <w:tcPr>
            <w:tcW w:type="dxa" w:w="31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Запуск для всех первокурсников</w:t>
            </w:r>
          </w:p>
        </w:tc>
        <w:tc>
          <w:tcPr>
            <w:tcW w:type="dxa" w:w="4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Диагностикой охвачено не менее 95% набора в установленный период.</w:t>
            </w:r>
          </w:p>
        </w:tc>
      </w:tr>
      <w:tr>
        <w:trPr>
          <w:cantSplit/>
        </w:trPr>
        <w:tc>
          <w:tcPr>
            <w:tcW w:type="dxa" w:w="1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Конец первого семестра</w:t>
            </w:r>
          </w:p>
        </w:tc>
        <w:tc>
          <w:tcPr>
            <w:tcW w:type="dxa" w:w="31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Экспертная контрольная точка</w:t>
            </w:r>
          </w:p>
        </w:tc>
        <w:tc>
          <w:tcPr>
            <w:tcW w:type="dxa" w:w="4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Участие группы риска не ниже 65%; прогноз затрат не выше 4,5 млн руб.; выявлены причины отклонений.</w:t>
            </w:r>
          </w:p>
        </w:tc>
      </w:tr>
      <w:tr>
        <w:trPr>
          <w:cantSplit/>
        </w:trPr>
        <w:tc>
          <w:tcPr>
            <w:tcW w:type="dxa" w:w="1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Конец учебного года</w:t>
            </w:r>
          </w:p>
        </w:tc>
        <w:tc>
          <w:tcPr>
            <w:tcW w:type="dxa" w:w="31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Итоговая оценка</w:t>
            </w:r>
          </w:p>
        </w:tc>
        <w:tc>
          <w:tcPr>
            <w:tcW w:type="dxa" w:w="48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Задолженности не выше 18%; сохранность не ниже 93%; обратная связь не ниже 4,0 из 5; нагрузка не выше 2 ч/нед.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Решение считается окончательно подтверждённым для масштабирования только при достижении обязательных показателей либо наличии обоснованного корректирующего плана, одобренного повторной коллективной экспертизой.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11. Выводы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Сформулированная проблема имеет измеримый разрыв: необходимо сократить число первокурсников с задолженностями минимум на 120 человек и удержать дополнительно не менее 60 студентов.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Количественные ограничения по бюджету, сроку, нагрузке, штату, охвату и защите данных позволили отделить желательные решения от допустимых.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Дерево целей показало, что результат зависит от четырёх взаимосвязанных направлений: ранней диагностики, адресной поддержки, организации обучения и ресурсной устойчивости.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Коллективная экспертиза пяти компетентностных позиций дала максимальную оценку гибридной программе - 4,59 балла при наименьшем коэффициенте вариации 3,8%.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Морфологический анализ подтвердил необходимость совместимой комбинации цифровой диагностики, человеческой поддержки, навигатора, обратной связи и контрольной точки.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Сценарный метод показал, что ожидаемые показатели гибридной программы составляют 17,1% задолженностей, 93,9% сохранности и 4,28 млн руб. затрат. Он также выявил риски пессимистического сценария и позволил сформулировать триггеры корректировки.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Окончательно выбрана гибридная адресная программа с бюджетом 4,2 млн руб., запуском за четыре месяца и контрольной экспертизой после первого семестра.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12. Список использованных источников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Лукичёва Л. И. Управление организацией: учебное пособие по специальности «Менеджмент организации» / Л. И. Лукичёва; под ред. Ю. П. Анискина. - 3-е изд., стер. - М.: Омега-Л, 2006. - 360 с. - ISBN 5-98119-986-5. - С. 143–155, 179.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Литвак Б. Г. Экспертные технологии в управлении: учебное пособие. - 2-е изд., испр. и доп. - М.: Дело, 2004.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Ожегов С. И., Шведова Н. Ю. Толковый словарь русского языка: 80 000 слов и фразеологических выражений. - 4-е изд., доп. - М.: Азбуковник, 1999.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Приложение А. Краткий словарь терминов для защиты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Принятие решения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осознанный выбор уполномоченным лицом определённой альтернативы с принятием ответственности за её реализацию и последствия.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Альтернатива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взаимоисключающий способ действия, сопоставляемый с другими способами для последующего выбора.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осознанный желаемый результат деятельности, выраженный качественно и, по возможности, количественно.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Задача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конкретный результат или действие, необходимые для достижения цели в установленных условиях и сроках.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Критерий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признак, показатель или правило, по которому оцениваются и сравниваются альтернативы.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Эталон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образец, нормативное или целевое значение, используемые как база сравнения; в работе эталонами выступают уровни 18% задолженностей и 93% сохранности.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Техническое задание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документированное описание требуемого результата, исходных данных, ограничений, критериев приёмки, сроков и ответственности за решение.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Проблема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противоречие или разрыв между фактическим и желаемым состоянием, способ устранения которого необходимо определить.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Ограничение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обязательное условие, сужающее множество допустимых решений или доступный объём ресурсов.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Ресурс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средство или возможность, используемые для достижения цели: деньги, время, персонал, информация, инфраструктура и полномочия.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Экспертный метод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способ разработки или оценки решения, основанный на формализованном сборе, сопоставлении и обобщении профессиональных суждений компетентных лиц.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Эксперт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специалист, обладающий знаниями и опытом в рассматриваемой области и привлекаемый для аргументированной оценки проблемы, альтернатив или последствий решения.</w:t>
      </w:r>
    </w:p>
    <w:sectPr w:rsidR="00FC693F" w:rsidRPr="0006063C" w:rsidSect="00034616">
      <w:footerReference w:type="default" r:id="rId9"/>
      <w:footerReference w:type="first" r:id="rId11"/>
      <w:footerReference w:type="even" r:id="rId12"/>
      <w:pgSz w:w="12240" w:h="15840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и принятие управленческих решений на основе экспертных методов</dc:title>
  <dc:subject>Практическая работа № 5</dc:subject>
  <dc:creator>Соловьев А. С., группа П-41</dc:creator>
  <cp:keywords>экспертные методы, дерево целей, морфологический анализ, сценарии, коллективная экспертиза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