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Times New Roman" w:hAnsi="Times New Roman"/>
          <w:b/>
          <w:sz w:val="36"/>
        </w:rPr>
        <w:t>СЕМИНАР № 7</w:t>
      </w:r>
    </w:p>
    <w:p>
      <w:pPr>
        <w:spacing w:after="160"/>
        <w:jc w:val="center"/>
      </w:pPr>
      <w:r>
        <w:rPr>
          <w:rFonts w:ascii="Times New Roman" w:hAnsi="Times New Roman"/>
          <w:b/>
          <w:sz w:val="36"/>
        </w:rPr>
        <w:t>МЕТОД СЦЕНАРИЕВ</w:t>
      </w:r>
    </w:p>
    <w:p>
      <w:pPr>
        <w:spacing w:after="800"/>
        <w:jc w:val="center"/>
      </w:pPr>
      <w:r>
        <w:rPr>
          <w:rFonts w:ascii="Times New Roman" w:hAnsi="Times New Roman"/>
          <w:i/>
          <w:sz w:val="28"/>
        </w:rPr>
        <w:t>Практическое применение метода сценариев</w:t>
      </w:r>
    </w:p>
    <w:p>
      <w:pPr>
        <w:spacing w:after="160"/>
        <w:jc w:val="right"/>
      </w:pPr>
      <w:r>
        <w:rPr>
          <w:b w:val="0"/>
          <w:sz w:val="28"/>
        </w:rPr>
        <w:t>Исполнитель: студент группы П-41 Соловьев А. С.</w:t>
      </w:r>
    </w:p>
    <w:p>
      <w:pPr>
        <w:spacing w:after="160"/>
        <w:jc w:val="right"/>
      </w:pPr>
      <w:r>
        <w:rPr>
          <w:b w:val="0"/>
          <w:sz w:val="28"/>
        </w:rPr>
        <w:t>Тема письма: П-41_Соловьев_АС_ПЗ-07</w:t>
      </w:r>
    </w:p>
    <w:p>
      <w:pPr>
        <w:spacing w:after="160"/>
        <w:jc w:val="right"/>
      </w:pPr>
      <w:r>
        <w:rPr>
          <w:b w:val="0"/>
          <w:sz w:val="28"/>
        </w:rPr>
        <w:t>Год выполнения: 2026</w:t>
      </w:r>
    </w:p>
    <w:p>
      <w:r>
        <w:br w:type="page"/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1. Название и цель работы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Название работы: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«Некоторые аспекты практического применения метода сценариев».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применить метод сценариев для обоснования долгосрочного управленческого решения: рассчитать пессимистический, наиболее вероятный и оптимистический показатели прибыльности и рентабельности по трём вариантам развития рекламной газеты, диагностировать проблемы предприятия по производству мороженого и разработать собственный сценарий развития для кейса «Вектор-Пак» [1, с. 153–155, 181–183].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сценариев не предсказывает будущее с точностью до одного числа. Он помогает сделать предпосылки явными, проверить решение в нескольких правдоподобных состояниях среды и заранее определить действия при неблагоприятном и благоприятном развитии событий.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2. Список исполнителей и организация групповой работы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1918"/>
        <w:gridCol w:w="1845"/>
        <w:gridCol w:w="5592"/>
      </w:tblGrid>
      <w:tr>
        <w:trPr>
          <w:cantSplit/>
          <w:tblHeader w:val="true"/>
        </w:trPr>
        <w:tc>
          <w:tcPr>
            <w:tcW w:type="dxa" w:w="19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Исполнитель / роль</w:t>
            </w:r>
          </w:p>
        </w:tc>
        <w:tc>
          <w:tcPr>
            <w:tcW w:type="dxa" w:w="18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Группа</w:t>
            </w:r>
          </w:p>
        </w:tc>
        <w:tc>
          <w:tcPr>
            <w:tcW w:type="dxa" w:w="5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Функция в общей работе</w:t>
            </w:r>
          </w:p>
        </w:tc>
      </w:tr>
      <w:tr>
        <w:trPr>
          <w:cantSplit/>
        </w:trPr>
        <w:tc>
          <w:tcPr>
            <w:tcW w:type="dxa" w:w="19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Соловьев А. С.</w:t>
            </w:r>
          </w:p>
        </w:tc>
        <w:tc>
          <w:tcPr>
            <w:tcW w:type="dxa" w:w="18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П-41</w:t>
            </w:r>
          </w:p>
        </w:tc>
        <w:tc>
          <w:tcPr>
            <w:tcW w:type="dxa" w:w="5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Координация рабочей версии отчёта; расчёты по заданию 1; формулирование выводов и подготовка к защите.</w:t>
            </w:r>
          </w:p>
        </w:tc>
      </w:tr>
      <w:tr>
        <w:trPr>
          <w:cantSplit/>
        </w:trPr>
        <w:tc>
          <w:tcPr>
            <w:tcW w:type="dxa" w:w="19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Аналитик сценариев</w:t>
            </w:r>
          </w:p>
        </w:tc>
        <w:tc>
          <w:tcPr>
            <w:tcW w:type="dxa" w:w="18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Уточняется на семинаре</w:t>
            </w:r>
          </w:p>
        </w:tc>
        <w:tc>
          <w:tcPr>
            <w:tcW w:type="dxa" w:w="5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Проверка предпосылок, факторов среды и согласованности трёх сценариев.</w:t>
            </w:r>
          </w:p>
        </w:tc>
      </w:tr>
      <w:tr>
        <w:trPr>
          <w:cantSplit/>
        </w:trPr>
        <w:tc>
          <w:tcPr>
            <w:tcW w:type="dxa" w:w="19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Финансовый аналитик</w:t>
            </w:r>
          </w:p>
        </w:tc>
        <w:tc>
          <w:tcPr>
            <w:tcW w:type="dxa" w:w="18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Уточняется на семинаре</w:t>
            </w:r>
          </w:p>
        </w:tc>
        <w:tc>
          <w:tcPr>
            <w:tcW w:type="dxa" w:w="5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Проверка формул, единиц измерения, расчётов и критериев выбора.</w:t>
            </w:r>
          </w:p>
        </w:tc>
      </w:tr>
      <w:tr>
        <w:trPr>
          <w:cantSplit/>
        </w:trPr>
        <w:tc>
          <w:tcPr>
            <w:tcW w:type="dxa" w:w="19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Докладчик / критик</w:t>
            </w:r>
          </w:p>
        </w:tc>
        <w:tc>
          <w:tcPr>
            <w:tcW w:type="dxa" w:w="18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Уточняется на семинаре</w:t>
            </w:r>
          </w:p>
        </w:tc>
        <w:tc>
          <w:tcPr>
            <w:tcW w:type="dxa" w:w="5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Представление решения; проверка логики причин, рисков и аргументов.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Персональные данные участников, кроме исполнителя данной версии, не заданы в исходном материале. До сдачи группового отчёта строки «уточняется на семинаре» должны быть заменены фактическими фамилиями, инициалами и группами участников. Роли важны не сами по себе: они позволяют отделить построение предположений от проверки расчётов и защиты выбранной стратегии.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3. Теоретическая основа: метод сценариев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Сценарий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описание будущего состояния объекта управления, составленное с учётом правдоподобных предположений. Для одной проблемы обычно составляют минимум три согласованных варианта: пессимистический, оптимистический и ожидаемый (наиболее вероятный) [1, с. 154]. Метод особенно уместен в стратегическом, долгосрочном решении, когда результат зависит от нескольких неопределённых внешних и внутренних факторов.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3.1. Этапы метода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2393"/>
        <w:gridCol w:w="3781"/>
        <w:gridCol w:w="3181"/>
      </w:tblGrid>
      <w:tr>
        <w:trPr>
          <w:cantSplit/>
          <w:tblHeader w:val="true"/>
        </w:trPr>
        <w:tc>
          <w:tcPr>
            <w:tcW w:type="dxa" w:w="23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Этап</w:t>
            </w:r>
          </w:p>
        </w:tc>
        <w:tc>
          <w:tcPr>
            <w:tcW w:type="dxa" w:w="37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Содержание</w:t>
            </w:r>
          </w:p>
        </w:tc>
        <w:tc>
          <w:tcPr>
            <w:tcW w:type="dxa" w:w="3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Результат для руководителя</w:t>
            </w:r>
          </w:p>
        </w:tc>
      </w:tr>
      <w:tr>
        <w:trPr>
          <w:cantSplit/>
        </w:trPr>
        <w:tc>
          <w:tcPr>
            <w:tcW w:type="dxa" w:w="23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Формулировка проблемы</w:t>
            </w:r>
          </w:p>
        </w:tc>
        <w:tc>
          <w:tcPr>
            <w:tcW w:type="dxa" w:w="37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Сбор и анализ информации; согласование сути задачи с участниками решения</w:t>
            </w:r>
          </w:p>
        </w:tc>
        <w:tc>
          <w:tcPr>
            <w:tcW w:type="dxa" w:w="3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Чёткая граница решения: что требуется изменить и к какому сроку</w:t>
            </w:r>
          </w:p>
        </w:tc>
      </w:tr>
      <w:tr>
        <w:trPr>
          <w:cantSplit/>
        </w:trPr>
        <w:tc>
          <w:tcPr>
            <w:tcW w:type="dxa" w:w="23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Определение и группировка сфер влияния</w:t>
            </w:r>
          </w:p>
        </w:tc>
        <w:tc>
          <w:tcPr>
            <w:tcW w:type="dxa" w:w="37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Выделение критических точек бизнеса и факторов, способных изменить будущее</w:t>
            </w:r>
          </w:p>
        </w:tc>
        <w:tc>
          <w:tcPr>
            <w:tcW w:type="dxa" w:w="3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Карта внешних и внутренних драйверов</w:t>
            </w:r>
          </w:p>
        </w:tc>
      </w:tr>
      <w:tr>
        <w:trPr>
          <w:cantSplit/>
        </w:trPr>
        <w:tc>
          <w:tcPr>
            <w:tcW w:type="dxa" w:w="23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Определение показателей будущего состояния</w:t>
            </w:r>
          </w:p>
        </w:tc>
        <w:tc>
          <w:tcPr>
            <w:tcW w:type="dxa" w:w="37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Выбор измеримых показателей без завышенных или противоречивых целей</w:t>
            </w:r>
          </w:p>
        </w:tc>
        <w:tc>
          <w:tcPr>
            <w:tcW w:type="dxa" w:w="3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Критерии, по которым можно сравнивать сценарии</w:t>
            </w:r>
          </w:p>
        </w:tc>
      </w:tr>
      <w:tr>
        <w:trPr>
          <w:cantSplit/>
        </w:trPr>
        <w:tc>
          <w:tcPr>
            <w:tcW w:type="dxa" w:w="23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Формирование и отбор наборов предположений</w:t>
            </w:r>
          </w:p>
        </w:tc>
        <w:tc>
          <w:tcPr>
            <w:tcW w:type="dxa" w:w="37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Согласование совместимых предположений; отбор трёх наиболее содержательных наборов</w:t>
            </w:r>
          </w:p>
        </w:tc>
        <w:tc>
          <w:tcPr>
            <w:tcW w:type="dxa" w:w="3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Пессимистический, наиболее вероятный и оптимистический сценарии</w:t>
            </w:r>
          </w:p>
        </w:tc>
      </w:tr>
      <w:tr>
        <w:trPr>
          <w:cantSplit/>
        </w:trPr>
        <w:tc>
          <w:tcPr>
            <w:tcW w:type="dxa" w:w="23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Сопоставление показателей и предположений</w:t>
            </w:r>
          </w:p>
        </w:tc>
        <w:tc>
          <w:tcPr>
            <w:tcW w:type="dxa" w:w="37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Проверка, достижимы ли заданные показатели при принятых предпосылках</w:t>
            </w:r>
          </w:p>
        </w:tc>
        <w:tc>
          <w:tcPr>
            <w:tcW w:type="dxa" w:w="3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Уточнённые целевые значения и выявленные противоречия</w:t>
            </w:r>
          </w:p>
        </w:tc>
      </w:tr>
      <w:tr>
        <w:trPr>
          <w:cantSplit/>
        </w:trPr>
        <w:tc>
          <w:tcPr>
            <w:tcW w:type="dxa" w:w="23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Введение разрушительных событий</w:t>
            </w:r>
          </w:p>
        </w:tc>
        <w:tc>
          <w:tcPr>
            <w:tcW w:type="dxa" w:w="37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Рассмотрение негативного или позитивного переломного момента</w:t>
            </w:r>
          </w:p>
        </w:tc>
        <w:tc>
          <w:tcPr>
            <w:tcW w:type="dxa" w:w="3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Резервные действия и чувствительность стратегии к шоку</w:t>
            </w:r>
          </w:p>
        </w:tc>
      </w:tr>
      <w:tr>
        <w:trPr>
          <w:cantSplit/>
        </w:trPr>
        <w:tc>
          <w:tcPr>
            <w:tcW w:type="dxa" w:w="23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 Установление последствий</w:t>
            </w:r>
          </w:p>
        </w:tc>
        <w:tc>
          <w:tcPr>
            <w:tcW w:type="dxa" w:w="37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Сравнение стратегических проблем и альтернатив развития</w:t>
            </w:r>
          </w:p>
        </w:tc>
        <w:tc>
          <w:tcPr>
            <w:tcW w:type="dxa" w:w="31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Обоснованный выбор стратегии и условия её пересмотра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отборе наборов предположений используются три критерия: внутренняя совместимость входящих в набор предположений, охват существенных переменных и достаточная правдоподобность событий [1, с. 154].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3.2. Политика выбора в условиях трёх сценариев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Одни и те же расчёты могут приводить к разным решениям в зависимости от политики руководителя. В работе используются следующие правила: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1431"/>
        <w:gridCol w:w="3596"/>
        <w:gridCol w:w="4328"/>
      </w:tblGrid>
      <w:tr>
        <w:trPr>
          <w:cantSplit/>
          <w:tblHeader w:val="true"/>
        </w:trPr>
        <w:tc>
          <w:tcPr>
            <w:tcW w:type="dxa" w:w="14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Тип принимающего решение</w:t>
            </w:r>
          </w:p>
        </w:tc>
        <w:tc>
          <w:tcPr>
            <w:tcW w:type="dxa" w:w="35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Правило выбора</w:t>
            </w:r>
          </w:p>
        </w:tc>
        <w:tc>
          <w:tcPr>
            <w:tcW w:type="dxa" w:w="4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Консерватор</w:t>
            </w:r>
          </w:p>
        </w:tc>
        <w:tc>
          <w:tcPr>
            <w:tcW w:type="dxa" w:w="35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Выбрать альтернативу с наилучшим худшим результатом: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max min(Π)</w:t>
            </w:r>
          </w:p>
        </w:tc>
        <w:tc>
          <w:tcPr>
            <w:tcW w:type="dxa" w:w="4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Сначала защитить организацию от наиболее тяжёлого последствия; критерий Вальда (maximin).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Рационалист</w:t>
            </w:r>
          </w:p>
        </w:tc>
        <w:tc>
          <w:tcPr>
            <w:tcW w:type="dxa" w:w="35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Выбрать максимум показателя в наиболее вероятном сценарии: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max(Π_нв)</w:t>
            </w:r>
          </w:p>
        </w:tc>
        <w:tc>
          <w:tcPr>
            <w:tcW w:type="dxa" w:w="4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Опираться на обоснованную базовую гипотезу, но сохранять план реакции на отклонения.</w:t>
            </w:r>
          </w:p>
        </w:tc>
      </w:tr>
      <w:tr>
        <w:trPr>
          <w:cantSplit/>
        </w:trPr>
        <w:tc>
          <w:tcPr>
            <w:tcW w:type="dxa" w:w="14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Авантюрист</w:t>
            </w:r>
          </w:p>
        </w:tc>
        <w:tc>
          <w:tcPr>
            <w:tcW w:type="dxa" w:w="35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Выбрать альтернативу с наибольшим возможным выигрышем: </w:t>
            </w: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max max(Π)</w:t>
            </w:r>
          </w:p>
        </w:tc>
        <w:tc>
          <w:tcPr>
            <w:tcW w:type="dxa" w:w="4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Стремиться к максимуму в благоприятной среде, принимая высокий риск потери.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этой работе </w:t>
      </w:r>
      <w:r>
        <w:rPr>
          <w:rFonts w:ascii="Times New Roman" w:hAnsi="Times New Roman" w:eastAsia="Times New Roman"/>
          <w:b/>
          <w:i w:val="0"/>
          <w:sz w:val="28"/>
        </w:rPr>
        <w:t>стратегия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долгосрочное направление развития фирмы, а </w:t>
      </w:r>
      <w:r>
        <w:rPr>
          <w:rFonts w:ascii="Times New Roman" w:hAnsi="Times New Roman" w:eastAsia="Times New Roman"/>
          <w:b/>
          <w:i w:val="0"/>
          <w:sz w:val="28"/>
        </w:rPr>
        <w:t>тактика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конкретные краткосрочные действия, которыми стратегия реализуется. Критерий не заменяет управленческого суждения: он делает понятным, какой именно показатель стал основанием выбора.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4. Задание 1. Сценарный расчёт для рекламной газеты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4.1. Исходная проблемная ситуация и альтернативы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Рекламная газета действует в условиях усиливающейся конкуренции среди газетных издательств. Руководитель должен выбрать долгосрочное направление развития [1, с. 181]. Рассматриваются три альтернативы: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Вариант 1</w:t>
      </w:r>
      <w:r>
        <w:rPr>
          <w:rFonts w:ascii="Times New Roman" w:hAnsi="Times New Roman" w:eastAsia="Times New Roman"/>
          <w:b w:val="0"/>
          <w:i w:val="0"/>
          <w:sz w:val="28"/>
        </w:rPr>
        <w:t>: расширить тематику газеты: добавить информационные материалы, телепрограммы, гороскопы, прогнозы погоды, кроссворды и т. п.;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Вариант 2</w:t>
      </w:r>
      <w:r>
        <w:rPr>
          <w:rFonts w:ascii="Times New Roman" w:hAnsi="Times New Roman" w:eastAsia="Times New Roman"/>
          <w:b w:val="0"/>
          <w:i w:val="0"/>
          <w:sz w:val="28"/>
        </w:rPr>
        <w:t>: объединиться с конкурирующим изданием, практически не публикующим рекламу;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Вариант 3</w:t>
      </w:r>
      <w:r>
        <w:rPr>
          <w:rFonts w:ascii="Times New Roman" w:hAnsi="Times New Roman" w:eastAsia="Times New Roman"/>
          <w:b w:val="0"/>
          <w:i w:val="0"/>
          <w:sz w:val="28"/>
        </w:rPr>
        <w:t>: создать рекламное агентство, для которого газета станет информационным вестником.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выбрать направление, обеспечивающее наилучший ожидаемый финансовый результат при выбранной политике отношения к риску. </w:t>
      </w:r>
      <w:r>
        <w:rPr>
          <w:rFonts w:ascii="Times New Roman" w:hAnsi="Times New Roman" w:eastAsia="Times New Roman"/>
          <w:b/>
          <w:i w:val="0"/>
          <w:sz w:val="28"/>
        </w:rPr>
        <w:t>Горизонт: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период устойчивого сбыта, заданный в исходной таблице. </w:t>
      </w:r>
      <w:r>
        <w:rPr>
          <w:rFonts w:ascii="Times New Roman" w:hAnsi="Times New Roman" w:eastAsia="Times New Roman"/>
          <w:b/>
          <w:i w:val="0"/>
          <w:sz w:val="28"/>
        </w:rPr>
        <w:t>Единица результата: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рубли ожидаемой операционной прибыли до налогов; без дисконтирования, так как ставка и временная структура денежных потоков в задании не приведены.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4.2. Исходные данные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Обозначения из условия: </w:t>
      </w:r>
      <w:r>
        <w:rPr>
          <w:rFonts w:ascii="Times New Roman" w:hAnsi="Times New Roman" w:eastAsia="Times New Roman"/>
          <w:b w:val="0"/>
          <w:i/>
          <w:sz w:val="28"/>
        </w:rPr>
        <w:t>P1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вероятность осуществления варианта; </w:t>
      </w:r>
      <w:r>
        <w:rPr>
          <w:rFonts w:ascii="Times New Roman" w:hAnsi="Times New Roman" w:eastAsia="Times New Roman"/>
          <w:b w:val="0"/>
          <w:i/>
          <w:sz w:val="28"/>
        </w:rPr>
        <w:t>P2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вероятность коммерческого успеха при его осуществлении; </w:t>
      </w:r>
      <w:r>
        <w:rPr>
          <w:rFonts w:ascii="Times New Roman" w:hAnsi="Times New Roman" w:eastAsia="Times New Roman"/>
          <w:b w:val="0"/>
          <w:i/>
          <w:sz w:val="28"/>
        </w:rPr>
        <w:t>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годовой объём продаж, шт.; </w:t>
      </w:r>
      <w:r>
        <w:rPr>
          <w:rFonts w:ascii="Times New Roman" w:hAnsi="Times New Roman" w:eastAsia="Times New Roman"/>
          <w:b w:val="0"/>
          <w:i/>
          <w:sz w:val="28"/>
        </w:rPr>
        <w:t>Ц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цена единицы продукции, руб.; </w:t>
      </w:r>
      <w:r>
        <w:rPr>
          <w:rFonts w:ascii="Times New Roman" w:hAnsi="Times New Roman" w:eastAsia="Times New Roman"/>
          <w:b w:val="0"/>
          <w:i/>
          <w:sz w:val="28"/>
        </w:rPr>
        <w:t>M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период устойчивого сбыта, мес.; </w:t>
      </w:r>
      <w:r>
        <w:rPr>
          <w:rFonts w:ascii="Times New Roman" w:hAnsi="Times New Roman" w:eastAsia="Times New Roman"/>
          <w:b w:val="0"/>
          <w:i/>
          <w:sz w:val="28"/>
        </w:rPr>
        <w:t>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себестоимость единицы продукции, руб.; </w:t>
      </w:r>
      <w:r>
        <w:rPr>
          <w:rFonts w:ascii="Times New Roman" w:hAnsi="Times New Roman" w:eastAsia="Times New Roman"/>
          <w:b w:val="0"/>
          <w:i/>
          <w:sz w:val="28"/>
        </w:rPr>
        <w:t>З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затраты на продвижение на рынок, руб. Индексы </w:t>
      </w:r>
      <w:r>
        <w:rPr>
          <w:rFonts w:ascii="Times New Roman" w:hAnsi="Times New Roman" w:eastAsia="Times New Roman"/>
          <w:b w:val="0"/>
          <w:i/>
          <w:sz w:val="28"/>
        </w:rPr>
        <w:t>пес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sz w:val="28"/>
        </w:rPr>
        <w:t>нв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sz w:val="28"/>
        </w:rPr>
        <w:t>опт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означают соответственно пессимистический, наиболее вероятный и оптимистический сценарии.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Вероятности осуществления и коммерческого успеха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2762"/>
        <w:gridCol w:w="1098"/>
        <w:gridCol w:w="1098"/>
        <w:gridCol w:w="1098"/>
        <w:gridCol w:w="1098"/>
        <w:gridCol w:w="1098"/>
        <w:gridCol w:w="1103"/>
      </w:tblGrid>
      <w:tr>
        <w:trPr>
          <w:cantSplit/>
          <w:tblHeader w:val="true"/>
        </w:trPr>
        <w:tc>
          <w:tcPr>
            <w:tcW w:type="dxa" w:w="2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Вариант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P1пес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P1нв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P1опт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P2пес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P2нв</w:t>
            </w:r>
          </w:p>
        </w:tc>
        <w:tc>
          <w:tcPr>
            <w:tcW w:type="dxa" w:w="11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P2опт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Расширение тематики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0,6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0,9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0,4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0,6</w:t>
            </w:r>
          </w:p>
        </w:tc>
        <w:tc>
          <w:tcPr>
            <w:tcW w:type="dxa" w:w="11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Объединение с изданием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0,3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0,3</w:t>
            </w:r>
          </w:p>
        </w:tc>
        <w:tc>
          <w:tcPr>
            <w:tcW w:type="dxa" w:w="11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0,6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Рекламное агентство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0,3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1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</w:t>
            </w:r>
          </w:p>
        </w:tc>
        <w:tc>
          <w:tcPr>
            <w:tcW w:type="dxa" w:w="110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0,9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Продажи, период сбыта и затраты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2550"/>
        <w:gridCol w:w="1222"/>
        <w:gridCol w:w="1192"/>
        <w:gridCol w:w="1244"/>
        <w:gridCol w:w="1014"/>
        <w:gridCol w:w="1014"/>
        <w:gridCol w:w="1119"/>
      </w:tblGrid>
      <w:tr>
        <w:trPr>
          <w:cantSplit/>
          <w:tblHeader w:val="true"/>
        </w:trPr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Вариант</w:t>
            </w:r>
          </w:p>
        </w:tc>
        <w:tc>
          <w:tcPr>
            <w:tcW w:type="dxa" w:w="12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Nпес, шт.</w:t>
            </w:r>
          </w:p>
        </w:tc>
        <w:tc>
          <w:tcPr>
            <w:tcW w:type="dxa" w:w="1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Nнв, шт.</w:t>
            </w:r>
          </w:p>
        </w:tc>
        <w:tc>
          <w:tcPr>
            <w:tcW w:type="dxa" w:w="12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Nопт, шт.</w:t>
            </w:r>
          </w:p>
        </w:tc>
        <w:tc>
          <w:tcPr>
            <w:tcW w:type="dxa" w:w="10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Ц, руб.</w:t>
            </w:r>
          </w:p>
        </w:tc>
        <w:tc>
          <w:tcPr>
            <w:tcW w:type="dxa" w:w="10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S, руб.</w:t>
            </w:r>
          </w:p>
        </w:tc>
        <w:tc>
          <w:tcPr>
            <w:tcW w:type="dxa" w:w="1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З, руб.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Расширение тематики</w:t>
            </w:r>
          </w:p>
        </w:tc>
        <w:tc>
          <w:tcPr>
            <w:tcW w:type="dxa" w:w="12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100 000</w:t>
            </w:r>
          </w:p>
        </w:tc>
        <w:tc>
          <w:tcPr>
            <w:tcW w:type="dxa" w:w="1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150 000</w:t>
            </w:r>
          </w:p>
        </w:tc>
        <w:tc>
          <w:tcPr>
            <w:tcW w:type="dxa" w:w="12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200 000</w:t>
            </w:r>
          </w:p>
        </w:tc>
        <w:tc>
          <w:tcPr>
            <w:tcW w:type="dxa" w:w="10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0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128 000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Объединение с изданием</w:t>
            </w:r>
          </w:p>
        </w:tc>
        <w:tc>
          <w:tcPr>
            <w:tcW w:type="dxa" w:w="12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50 000</w:t>
            </w:r>
          </w:p>
        </w:tc>
        <w:tc>
          <w:tcPr>
            <w:tcW w:type="dxa" w:w="1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100 000</w:t>
            </w:r>
          </w:p>
        </w:tc>
        <w:tc>
          <w:tcPr>
            <w:tcW w:type="dxa" w:w="12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120 000</w:t>
            </w:r>
          </w:p>
        </w:tc>
        <w:tc>
          <w:tcPr>
            <w:tcW w:type="dxa" w:w="10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0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96 000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Рекламное агентство</w:t>
            </w:r>
          </w:p>
        </w:tc>
        <w:tc>
          <w:tcPr>
            <w:tcW w:type="dxa" w:w="12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140 000</w:t>
            </w:r>
          </w:p>
        </w:tc>
        <w:tc>
          <w:tcPr>
            <w:tcW w:type="dxa" w:w="1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160 000</w:t>
            </w:r>
          </w:p>
        </w:tc>
        <w:tc>
          <w:tcPr>
            <w:tcW w:type="dxa" w:w="12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200 000</w:t>
            </w:r>
          </w:p>
        </w:tc>
        <w:tc>
          <w:tcPr>
            <w:tcW w:type="dxa" w:w="10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0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150 000</w:t>
            </w:r>
          </w:p>
        </w:tc>
      </w:tr>
    </w:tbl>
    <w:p>
      <w:pPr>
        <w:spacing w:line="240" w:lineRule="auto" w:before="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4265"/>
        <w:gridCol w:w="1696"/>
        <w:gridCol w:w="1696"/>
        <w:gridCol w:w="1698"/>
      </w:tblGrid>
      <w:tr>
        <w:trPr>
          <w:cantSplit/>
          <w:tblHeader w:val="true"/>
        </w:trPr>
        <w:tc>
          <w:tcPr>
            <w:tcW w:type="dxa" w:w="42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Вариант</w:t>
            </w:r>
          </w:p>
        </w:tc>
        <w:tc>
          <w:tcPr>
            <w:tcW w:type="dxa" w:w="1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Mпес, мес.</w:t>
            </w:r>
          </w:p>
        </w:tc>
        <w:tc>
          <w:tcPr>
            <w:tcW w:type="dxa" w:w="1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Mнв, мес.</w:t>
            </w:r>
          </w:p>
        </w:tc>
        <w:tc>
          <w:tcPr>
            <w:tcW w:type="dxa" w:w="16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Mопт, мес.</w:t>
            </w:r>
          </w:p>
        </w:tc>
      </w:tr>
      <w:tr>
        <w:trPr>
          <w:cantSplit/>
        </w:trPr>
        <w:tc>
          <w:tcPr>
            <w:tcW w:type="dxa" w:w="42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Расширение тематики</w:t>
            </w:r>
          </w:p>
        </w:tc>
        <w:tc>
          <w:tcPr>
            <w:tcW w:type="dxa" w:w="1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42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Объединение с изданием</w:t>
            </w:r>
          </w:p>
        </w:tc>
        <w:tc>
          <w:tcPr>
            <w:tcW w:type="dxa" w:w="1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42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Рекламное агентство</w:t>
            </w:r>
          </w:p>
        </w:tc>
        <w:tc>
          <w:tcPr>
            <w:tcW w:type="dxa" w:w="1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</w:tr>
    </w:tbl>
    <w:p>
      <w:pPr>
        <w:spacing w:line="240" w:lineRule="auto" w:before="0" w:after="0"/>
      </w:pP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4.3. Допущения и формула расчёта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Из условия следует, что </w:t>
      </w:r>
      <w:r>
        <w:rPr>
          <w:rFonts w:ascii="Times New Roman" w:hAnsi="Times New Roman" w:eastAsia="Times New Roman"/>
          <w:b w:val="0"/>
          <w:i/>
          <w:sz w:val="28"/>
        </w:rPr>
        <w:t>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</w:t>
      </w:r>
      <w:r>
        <w:rPr>
          <w:rFonts w:ascii="Times New Roman" w:hAnsi="Times New Roman" w:eastAsia="Times New Roman"/>
          <w:b/>
          <w:i w:val="0"/>
          <w:sz w:val="28"/>
        </w:rPr>
        <w:t>годовой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объём, а </w:t>
      </w:r>
      <w:r>
        <w:rPr>
          <w:rFonts w:ascii="Times New Roman" w:hAnsi="Times New Roman" w:eastAsia="Times New Roman"/>
          <w:b w:val="0"/>
          <w:i/>
          <w:sz w:val="28"/>
        </w:rPr>
        <w:t>M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дан в месяцах. Поэтому объём продаж за период устойчивого сбыта необходимо привести к одним единицам времени: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Qᵢ,ₛ = Nᵢ,ₛ × Mᵢ,ₛ / 12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где </w:t>
      </w:r>
      <w:r>
        <w:rPr>
          <w:rFonts w:ascii="Times New Roman" w:hAnsi="Times New Roman" w:eastAsia="Times New Roman"/>
          <w:b w:val="0"/>
          <w:i/>
          <w:sz w:val="28"/>
        </w:rPr>
        <w:t>Q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объём продаж за период устойчивого сбыта, </w:t>
      </w:r>
      <w:r>
        <w:rPr>
          <w:rFonts w:ascii="Times New Roman" w:hAnsi="Times New Roman" w:eastAsia="Times New Roman"/>
          <w:b w:val="0"/>
          <w:i/>
          <w:sz w:val="28"/>
        </w:rPr>
        <w:t>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вариант, </w:t>
      </w:r>
      <w:r>
        <w:rPr>
          <w:rFonts w:ascii="Times New Roman" w:hAnsi="Times New Roman" w:eastAsia="Times New Roman"/>
          <w:b w:val="0"/>
          <w:i/>
          <w:sz w:val="28"/>
        </w:rPr>
        <w:t>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сценарий.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Полная вероятность успешного получения результата равна произведению вероятности осуществления варианта и вероятности коммерческого успеха: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pᵢ,ₛ = P1ᵢ,ₛ × P2ᵢ,ₛ.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задания принята следующая модель </w:t>
      </w:r>
      <w:r>
        <w:rPr>
          <w:rFonts w:ascii="Times New Roman" w:hAnsi="Times New Roman" w:eastAsia="Times New Roman"/>
          <w:b/>
          <w:i w:val="0"/>
          <w:sz w:val="28"/>
        </w:rPr>
        <w:t>ожидаемой операционной прибыли</w:t>
      </w:r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Πᵢ,ₛ = P1ᵢ,ₛ × P2ᵢ,ₛ × [Nᵢ,ₛ × (Mᵢ,ₛ / 12) × (Цᵢ − Sᵢ) − Зᵢ].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квадратных скобках находится прибыль при успешной реализации варианта: маржинальный доход за период минус затраты на продвижение. Множитель </w:t>
      </w:r>
      <w:r>
        <w:rPr>
          <w:rFonts w:ascii="Times New Roman" w:hAnsi="Times New Roman" w:eastAsia="Times New Roman"/>
          <w:b w:val="0"/>
          <w:i/>
          <w:sz w:val="28"/>
        </w:rPr>
        <w:t>P1 × P2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учитывает неопределённость осуществления и коммерческого успеха. Это явно сформулированное учебное допущение: в иной финансовой модели затраты </w:t>
      </w:r>
      <w:r>
        <w:rPr>
          <w:rFonts w:ascii="Times New Roman" w:hAnsi="Times New Roman" w:eastAsia="Times New Roman"/>
          <w:b w:val="0"/>
          <w:i/>
          <w:sz w:val="28"/>
        </w:rPr>
        <w:t>З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можно учитывать в момент запуска, дисконтировать по месяцам и разделять на постоянные и переменные. Исходных данных для такой детализации в условии нет.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4.4. Расчёты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Вариант 1: расширение тематики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Пессимистический сценарий: </w:t>
      </w:r>
      <w:r>
        <w:rPr>
          <w:rFonts w:ascii="Times New Roman" w:hAnsi="Times New Roman" w:eastAsia="Times New Roman"/>
          <w:b w:val="0"/>
          <w:i/>
          <w:sz w:val="28"/>
        </w:rPr>
        <w:t>Q = 100 000 × 6 / 12 = 50 000 шт.; p = 0,5 × 0,4 = 0,20; Π = 0,20 × [50 000 × (6 − 5) − 128 000] = −15 600 руб.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Наиболее вероятный сценарий: </w:t>
      </w:r>
      <w:r>
        <w:rPr>
          <w:rFonts w:ascii="Times New Roman" w:hAnsi="Times New Roman" w:eastAsia="Times New Roman"/>
          <w:b w:val="0"/>
          <w:i/>
          <w:sz w:val="28"/>
        </w:rPr>
        <w:t>Q = 150 000 × 12 / 12 = 150 000 шт.; p = 0,6 × 0,6 = 0,36; Π = 0,36 × [150 000 × 1 − 128 000] = 7 920 руб.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Оптимистический сценарий: </w:t>
      </w:r>
      <w:r>
        <w:rPr>
          <w:rFonts w:ascii="Times New Roman" w:hAnsi="Times New Roman" w:eastAsia="Times New Roman"/>
          <w:b w:val="0"/>
          <w:i/>
          <w:sz w:val="28"/>
        </w:rPr>
        <w:t>Q = 200 000 × 18 / 12 = 300 000 шт.; p = 0,9 × 0,7 = 0,63; Π = 0,63 × [300 000 × 1 − 128 000] = 108 360 руб.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Вариант 2: объединение с конкурирующим изданием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Пессимистический сценарий: </w:t>
      </w:r>
      <w:r>
        <w:rPr>
          <w:rFonts w:ascii="Times New Roman" w:hAnsi="Times New Roman" w:eastAsia="Times New Roman"/>
          <w:b w:val="0"/>
          <w:i/>
          <w:sz w:val="28"/>
        </w:rPr>
        <w:t>Q = 50 000 × 4 / 12 = 16 666,67 шт.; p = 0,2 × 0,2 = 0,04; Π = 0,04 × [16 666,67 × (7 − 6) − 96 000] = −3 173,33 руб.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Наиболее вероятный сценарий: </w:t>
      </w:r>
      <w:r>
        <w:rPr>
          <w:rFonts w:ascii="Times New Roman" w:hAnsi="Times New Roman" w:eastAsia="Times New Roman"/>
          <w:b w:val="0"/>
          <w:i/>
          <w:sz w:val="28"/>
        </w:rPr>
        <w:t>Q = 100 000 × 8 / 12 = 66 666,67 шт.; p = 0,3 × 0,3 = 0,09; Π = 0,09 × [66 666,67 × 1 − 96 000] = −2 640 руб.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Оптимистический сценарий: </w:t>
      </w:r>
      <w:r>
        <w:rPr>
          <w:rFonts w:ascii="Times New Roman" w:hAnsi="Times New Roman" w:eastAsia="Times New Roman"/>
          <w:b w:val="0"/>
          <w:i/>
          <w:sz w:val="28"/>
        </w:rPr>
        <w:t>Q = 120 000 × 12 / 12 = 120 000 шт.; p = 0,5 × 0,6 = 0,30; Π = 0,30 × [120 000 × 1 − 96 000] = 7 200 руб.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Вариант 3: создание рекламного агентства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Пессимистический сценарий: </w:t>
      </w:r>
      <w:r>
        <w:rPr>
          <w:rFonts w:ascii="Times New Roman" w:hAnsi="Times New Roman" w:eastAsia="Times New Roman"/>
          <w:b w:val="0"/>
          <w:i/>
          <w:sz w:val="28"/>
        </w:rPr>
        <w:t>Q = 140 000 × 8 / 12 = 93 333,33 шт.; p = 0,3 × 0,5 = 0,15; Π = 0,15 × [93 333,33 × (4 − 3) − 150 000] = −8 500 руб.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Наиболее вероятный сценарий: </w:t>
      </w:r>
      <w:r>
        <w:rPr>
          <w:rFonts w:ascii="Times New Roman" w:hAnsi="Times New Roman" w:eastAsia="Times New Roman"/>
          <w:b w:val="0"/>
          <w:i/>
          <w:sz w:val="28"/>
        </w:rPr>
        <w:t>Q = 160 000 × 14 / 12 = 186 666,67 шт.; p = 0,5 × 0,7 = 0,35; Π = 0,35 × [186 666,67 × 1 − 150 000] = 12 833,33 руб.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Оптимистический сценарий: </w:t>
      </w:r>
      <w:r>
        <w:rPr>
          <w:rFonts w:ascii="Times New Roman" w:hAnsi="Times New Roman" w:eastAsia="Times New Roman"/>
          <w:b w:val="0"/>
          <w:i/>
          <w:sz w:val="28"/>
        </w:rPr>
        <w:t>Q = 200 000 × 20 / 12 = 333 333,33 шт.; p = 0,7 × 0,9 = 0,63; Π = 0,63 × [333 333,33 × 1 − 150 000] = 115 500 руб.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4.5. Сводная таблица и критерии выбора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2309"/>
        <w:gridCol w:w="1234"/>
        <w:gridCol w:w="1155"/>
        <w:gridCol w:w="1234"/>
        <w:gridCol w:w="1710"/>
        <w:gridCol w:w="1713"/>
      </w:tblGrid>
      <w:tr>
        <w:trPr>
          <w:cantSplit/>
          <w:tblHeader w:val="true"/>
        </w:trPr>
        <w:tc>
          <w:tcPr>
            <w:tcW w:type="dxa" w:w="2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Вариант развития</w:t>
            </w:r>
          </w:p>
        </w:tc>
        <w:tc>
          <w:tcPr>
            <w:tcW w:type="dxa" w:w="12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Πпес, руб.</w:t>
            </w:r>
          </w:p>
        </w:tc>
        <w:tc>
          <w:tcPr>
            <w:tcW w:type="dxa" w:w="11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Πнв, руб.</w:t>
            </w:r>
          </w:p>
        </w:tc>
        <w:tc>
          <w:tcPr>
            <w:tcW w:type="dxa" w:w="12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Πопт, руб.</w:t>
            </w:r>
          </w:p>
        </w:tc>
        <w:tc>
          <w:tcPr>
            <w:tcW w:type="dxa" w:w="17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Худший результат </w:t>
            </w:r>
            <w:r>
              <w:rPr>
                <w:rFonts w:ascii="Times New Roman" w:hAnsi="Times New Roman" w:eastAsia="Times New Roman"/>
                <w:b/>
                <w:i/>
                <w:sz w:val="20"/>
              </w:rPr>
              <w:t>min Π</w:t>
            </w:r>
          </w:p>
        </w:tc>
        <w:tc>
          <w:tcPr>
            <w:tcW w:type="dxa" w:w="17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Лучший результат </w:t>
            </w:r>
            <w:r>
              <w:rPr>
                <w:rFonts w:ascii="Times New Roman" w:hAnsi="Times New Roman" w:eastAsia="Times New Roman"/>
                <w:b/>
                <w:i/>
                <w:sz w:val="20"/>
              </w:rPr>
              <w:t>max Π</w:t>
            </w:r>
          </w:p>
        </w:tc>
      </w:tr>
      <w:tr>
        <w:trPr>
          <w:cantSplit/>
        </w:trPr>
        <w:tc>
          <w:tcPr>
            <w:tcW w:type="dxa" w:w="2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Расширение тематики</w:t>
            </w:r>
          </w:p>
        </w:tc>
        <w:tc>
          <w:tcPr>
            <w:tcW w:type="dxa" w:w="12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−15 600,00</w:t>
            </w:r>
          </w:p>
        </w:tc>
        <w:tc>
          <w:tcPr>
            <w:tcW w:type="dxa" w:w="11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7 920,00</w:t>
            </w:r>
          </w:p>
        </w:tc>
        <w:tc>
          <w:tcPr>
            <w:tcW w:type="dxa" w:w="12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108 360,00</w:t>
            </w:r>
          </w:p>
        </w:tc>
        <w:tc>
          <w:tcPr>
            <w:tcW w:type="dxa" w:w="17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−15 600,00</w:t>
            </w:r>
          </w:p>
        </w:tc>
        <w:tc>
          <w:tcPr>
            <w:tcW w:type="dxa" w:w="17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108 360,00</w:t>
            </w:r>
          </w:p>
        </w:tc>
      </w:tr>
      <w:tr>
        <w:trPr>
          <w:cantSplit/>
        </w:trPr>
        <w:tc>
          <w:tcPr>
            <w:tcW w:type="dxa" w:w="2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Объединение с изданием</w:t>
            </w:r>
          </w:p>
        </w:tc>
        <w:tc>
          <w:tcPr>
            <w:tcW w:type="dxa" w:w="12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−3 173,33</w:t>
            </w:r>
          </w:p>
        </w:tc>
        <w:tc>
          <w:tcPr>
            <w:tcW w:type="dxa" w:w="11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−2 640,00</w:t>
            </w:r>
          </w:p>
        </w:tc>
        <w:tc>
          <w:tcPr>
            <w:tcW w:type="dxa" w:w="12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7 200,00</w:t>
            </w:r>
          </w:p>
        </w:tc>
        <w:tc>
          <w:tcPr>
            <w:tcW w:type="dxa" w:w="17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−3 173,33</w:t>
            </w:r>
          </w:p>
        </w:tc>
        <w:tc>
          <w:tcPr>
            <w:tcW w:type="dxa" w:w="17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7 200,00</w:t>
            </w:r>
          </w:p>
        </w:tc>
      </w:tr>
      <w:tr>
        <w:trPr>
          <w:cantSplit/>
        </w:trPr>
        <w:tc>
          <w:tcPr>
            <w:tcW w:type="dxa" w:w="23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3. Рекламное агентство</w:t>
            </w:r>
          </w:p>
        </w:tc>
        <w:tc>
          <w:tcPr>
            <w:tcW w:type="dxa" w:w="12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−8 500,00</w:t>
            </w:r>
          </w:p>
        </w:tc>
        <w:tc>
          <w:tcPr>
            <w:tcW w:type="dxa" w:w="11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12 833,33</w:t>
            </w:r>
          </w:p>
        </w:tc>
        <w:tc>
          <w:tcPr>
            <w:tcW w:type="dxa" w:w="12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115 500,00</w:t>
            </w:r>
          </w:p>
        </w:tc>
        <w:tc>
          <w:tcPr>
            <w:tcW w:type="dxa" w:w="17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−8 500,00</w:t>
            </w:r>
          </w:p>
        </w:tc>
        <w:tc>
          <w:tcPr>
            <w:tcW w:type="dxa" w:w="17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115 500,00</w:t>
            </w:r>
          </w:p>
        </w:tc>
      </w:tr>
    </w:tbl>
    <w:p>
      <w:pPr>
        <w:spacing w:line="240" w:lineRule="auto" w:before="0"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1929"/>
        <w:gridCol w:w="3511"/>
        <w:gridCol w:w="3915"/>
      </w:tblGrid>
      <w:tr>
        <w:trPr>
          <w:cantSplit/>
          <w:tblHeader w:val="true"/>
        </w:trPr>
        <w:tc>
          <w:tcPr>
            <w:tcW w:type="dxa" w:w="192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Критерий / политика</w:t>
            </w:r>
          </w:p>
        </w:tc>
        <w:tc>
          <w:tcPr>
            <w:tcW w:type="dxa" w:w="35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Расчётное основание</w:t>
            </w:r>
          </w:p>
        </w:tc>
        <w:tc>
          <w:tcPr>
            <w:tcW w:type="dxa" w:w="39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Выбор</w:t>
            </w:r>
          </w:p>
        </w:tc>
      </w:tr>
      <w:tr>
        <w:trPr>
          <w:cantSplit/>
        </w:trPr>
        <w:tc>
          <w:tcPr>
            <w:tcW w:type="dxa" w:w="192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Консерватор (maximin)</w:t>
            </w:r>
          </w:p>
        </w:tc>
        <w:tc>
          <w:tcPr>
            <w:tcW w:type="dxa" w:w="35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max(−15 600; −3 173,33; −8 500) = −3 173,33 руб.</w:t>
            </w:r>
          </w:p>
        </w:tc>
        <w:tc>
          <w:tcPr>
            <w:tcW w:type="dxa" w:w="39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Вариант 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: его худший результат наименее неблагоприятен.</w:t>
            </w:r>
          </w:p>
        </w:tc>
      </w:tr>
      <w:tr>
        <w:trPr>
          <w:cantSplit/>
        </w:trPr>
        <w:tc>
          <w:tcPr>
            <w:tcW w:type="dxa" w:w="192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Рационалист</w:t>
            </w:r>
          </w:p>
        </w:tc>
        <w:tc>
          <w:tcPr>
            <w:tcW w:type="dxa" w:w="35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max(7 920; −2 640; 12 833,33) = 12 833,33 руб.</w:t>
            </w:r>
          </w:p>
        </w:tc>
        <w:tc>
          <w:tcPr>
            <w:tcW w:type="dxa" w:w="39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Вариант 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: максимальный результат в наиболее вероятном сценарии.</w:t>
            </w:r>
          </w:p>
        </w:tc>
      </w:tr>
      <w:tr>
        <w:trPr>
          <w:cantSplit/>
        </w:trPr>
        <w:tc>
          <w:tcPr>
            <w:tcW w:type="dxa" w:w="192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Авантюрист (maximax)</w:t>
            </w:r>
          </w:p>
        </w:tc>
        <w:tc>
          <w:tcPr>
            <w:tcW w:type="dxa" w:w="35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max(108 360; 7 200; 115 500) = 115 500 руб.</w:t>
            </w:r>
          </w:p>
        </w:tc>
        <w:tc>
          <w:tcPr>
            <w:tcW w:type="dxa" w:w="39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Вариант 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: наибольший потенциальный выигрыш.</w:t>
            </w:r>
          </w:p>
        </w:tc>
      </w:tr>
    </w:tbl>
    <w:p>
      <w:pPr>
        <w:spacing w:line="240" w:lineRule="auto" w:before="0" w:after="0"/>
      </w:pP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ВЫБОР ГРУППЫ: ВАРИАНТ 3 - СОЗДАНИЕ РЕКЛАМНОГО АГЕНТСТВА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Основание выбора - критерий рационалиста: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 наиболее вероятном сценарии вариант 3 даёт </w:t>
      </w:r>
      <w:r>
        <w:rPr>
          <w:rFonts w:ascii="Times New Roman" w:hAnsi="Times New Roman" w:eastAsia="Times New Roman"/>
          <w:b w:val="0"/>
          <w:i/>
          <w:sz w:val="28"/>
        </w:rPr>
        <w:t>12 833,33 руб.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что выше результата варианта 1 на </w:t>
      </w:r>
      <w:r>
        <w:rPr>
          <w:rFonts w:ascii="Times New Roman" w:hAnsi="Times New Roman" w:eastAsia="Times New Roman"/>
          <w:b w:val="0"/>
          <w:i/>
          <w:sz w:val="28"/>
        </w:rPr>
        <w:t>4 913,33 руб.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результата варианта 2 на </w:t>
      </w:r>
      <w:r>
        <w:rPr>
          <w:rFonts w:ascii="Times New Roman" w:hAnsi="Times New Roman" w:eastAsia="Times New Roman"/>
          <w:b w:val="0"/>
          <w:i/>
          <w:sz w:val="28"/>
        </w:rPr>
        <w:t>15 473,33 руб.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Он же лидирует в оптимистическом сценарии (</w:t>
      </w:r>
      <w:r>
        <w:rPr>
          <w:rFonts w:ascii="Times New Roman" w:hAnsi="Times New Roman" w:eastAsia="Times New Roman"/>
          <w:b w:val="0"/>
          <w:i/>
          <w:sz w:val="28"/>
        </w:rPr>
        <w:t>115 500 руб.</w:t>
      </w:r>
      <w:r>
        <w:rPr>
          <w:rFonts w:ascii="Times New Roman" w:hAnsi="Times New Roman" w:eastAsia="Times New Roman"/>
          <w:b w:val="0"/>
          <w:i w:val="0"/>
          <w:sz w:val="28"/>
        </w:rPr>
        <w:t>). Выбор не отменяет риска: пессимистический результат варианта 3 отрицателен (</w:t>
      </w:r>
      <w:r>
        <w:rPr>
          <w:rFonts w:ascii="Times New Roman" w:hAnsi="Times New Roman" w:eastAsia="Times New Roman"/>
          <w:b w:val="0"/>
          <w:i/>
          <w:sz w:val="28"/>
        </w:rPr>
        <w:t>−8 500 руб.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), поэтому запуск должен быть поэтапным - с предварительным подтверждением спроса рекламодателей и лимитом затрат </w:t>
      </w:r>
      <w:r>
        <w:rPr>
          <w:rFonts w:ascii="Times New Roman" w:hAnsi="Times New Roman" w:eastAsia="Times New Roman"/>
          <w:b w:val="0"/>
          <w:i/>
          <w:sz w:val="28"/>
        </w:rPr>
        <w:t>З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4.6. Формула расчёта рентабельности и проверка выбора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Задание 1 требует не только рассчитать показатели прибыльности </w:t>
      </w:r>
      <w:r>
        <w:rPr>
          <w:rFonts w:ascii="Times New Roman" w:hAnsi="Times New Roman" w:eastAsia="Times New Roman"/>
          <w:b w:val="0"/>
          <w:i/>
          <w:sz w:val="28"/>
        </w:rPr>
        <w:t>Рпес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i/>
          <w:sz w:val="28"/>
        </w:rPr>
        <w:t>Рнв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/>
          <w:sz w:val="28"/>
        </w:rPr>
        <w:t>Ропт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но и </w:t>
      </w:r>
      <w:r>
        <w:rPr>
          <w:rFonts w:ascii="Times New Roman" w:hAnsi="Times New Roman" w:eastAsia="Times New Roman"/>
          <w:b/>
          <w:i w:val="0"/>
          <w:sz w:val="28"/>
        </w:rPr>
        <w:t>предложить формулу расчёта рентабельности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[1, с. 182]. Абсолютная прибыль не позволяет сравнивать варианты с разными масштабами затрат: вариант 3 даёт наибольшую прибыль, но и вкладывает в продвижение </w:t>
      </w:r>
      <w:r>
        <w:rPr>
          <w:rFonts w:ascii="Times New Roman" w:hAnsi="Times New Roman" w:eastAsia="Times New Roman"/>
          <w:b w:val="0"/>
          <w:i/>
          <w:sz w:val="28"/>
        </w:rPr>
        <w:t>150 000 руб.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против </w:t>
      </w:r>
      <w:r>
        <w:rPr>
          <w:rFonts w:ascii="Times New Roman" w:hAnsi="Times New Roman" w:eastAsia="Times New Roman"/>
          <w:b w:val="0"/>
          <w:i/>
          <w:sz w:val="28"/>
        </w:rPr>
        <w:t>96 000 руб.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у варианта 2. Поэтому вводится относительный показатель.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Затраты по сценарию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складываются из себестоимости реализованной продукции и затрат на продвижение: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Зполнᵢ,ₛ = Sᵢ × Qᵢ,ₛ + Зᵢ.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Прибыль при успешной реализации варианта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(без множителя вероятности):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Прᵢ,ₛ = Qᵢ,ₛ × (Цᵢ − Sᵢ) − Зᵢ.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Тогда предлагаемая </w:t>
      </w:r>
      <w:r>
        <w:rPr>
          <w:rFonts w:ascii="Times New Roman" w:hAnsi="Times New Roman" w:eastAsia="Times New Roman"/>
          <w:b/>
          <w:i w:val="0"/>
          <w:sz w:val="28"/>
        </w:rPr>
        <w:t>формула рентабельности затрат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 каждому сценарию имеет вид: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Rᵢ,ₛ = Прᵢ,ₛ / (Sᵢ × Qᵢ,ₛ + Зᵢ) × 100 %.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 учётом вероятности осуществления варианта и вероятности коммерческого успеха рассчитывается </w:t>
      </w:r>
      <w:r>
        <w:rPr>
          <w:rFonts w:ascii="Times New Roman" w:hAnsi="Times New Roman" w:eastAsia="Times New Roman"/>
          <w:b/>
          <w:i w:val="0"/>
          <w:sz w:val="28"/>
        </w:rPr>
        <w:t>ожидаемая рентабельность</w:t>
      </w:r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Rожᵢ,ₛ = P1ᵢ,ₛ × P2ᵢ,ₛ × Rᵢ,ₛ = Πᵢ,ₛ / (Sᵢ × Qᵢ,ₛ + Зᵢ) × 100 %.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2768"/>
        <w:gridCol w:w="1094"/>
        <w:gridCol w:w="1038"/>
        <w:gridCol w:w="1038"/>
        <w:gridCol w:w="1188"/>
        <w:gridCol w:w="1086"/>
        <w:gridCol w:w="1143"/>
      </w:tblGrid>
      <w:tr>
        <w:trPr>
          <w:cantSplit/>
          <w:tblHeader w:val="true"/>
        </w:trPr>
        <w:tc>
          <w:tcPr>
            <w:tcW w:type="dxa" w:w="2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Вариант развития</w:t>
            </w:r>
          </w:p>
        </w:tc>
        <w:tc>
          <w:tcPr>
            <w:tcW w:type="dxa" w:w="10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Rпес, %</w:t>
            </w:r>
          </w:p>
        </w:tc>
        <w:tc>
          <w:tcPr>
            <w:tcW w:type="dxa" w:w="10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Rнв, %</w:t>
            </w:r>
          </w:p>
        </w:tc>
        <w:tc>
          <w:tcPr>
            <w:tcW w:type="dxa" w:w="10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Rопт, %</w:t>
            </w:r>
          </w:p>
        </w:tc>
        <w:tc>
          <w:tcPr>
            <w:tcW w:type="dxa" w:w="11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Rож пес, %</w:t>
            </w:r>
          </w:p>
        </w:tc>
        <w:tc>
          <w:tcPr>
            <w:tcW w:type="dxa" w:w="10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Rож нв, %</w:t>
            </w:r>
          </w:p>
        </w:tc>
        <w:tc>
          <w:tcPr>
            <w:tcW w:type="dxa" w:w="114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Rож опт, %</w:t>
            </w:r>
          </w:p>
        </w:tc>
      </w:tr>
      <w:tr>
        <w:trPr>
          <w:cantSplit/>
        </w:trPr>
        <w:tc>
          <w:tcPr>
            <w:tcW w:type="dxa" w:w="2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Расширение тематики</w:t>
            </w:r>
          </w:p>
        </w:tc>
        <w:tc>
          <w:tcPr>
            <w:tcW w:type="dxa" w:w="10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−20,63</w:t>
            </w:r>
          </w:p>
        </w:tc>
        <w:tc>
          <w:tcPr>
            <w:tcW w:type="dxa" w:w="10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2,51</w:t>
            </w:r>
          </w:p>
        </w:tc>
        <w:tc>
          <w:tcPr>
            <w:tcW w:type="dxa" w:w="10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10,57</w:t>
            </w:r>
          </w:p>
        </w:tc>
        <w:tc>
          <w:tcPr>
            <w:tcW w:type="dxa" w:w="11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−4,13</w:t>
            </w:r>
          </w:p>
        </w:tc>
        <w:tc>
          <w:tcPr>
            <w:tcW w:type="dxa" w:w="10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0,90</w:t>
            </w:r>
          </w:p>
        </w:tc>
        <w:tc>
          <w:tcPr>
            <w:tcW w:type="dxa" w:w="114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6,66</w:t>
            </w:r>
          </w:p>
        </w:tc>
      </w:tr>
      <w:tr>
        <w:trPr>
          <w:cantSplit/>
        </w:trPr>
        <w:tc>
          <w:tcPr>
            <w:tcW w:type="dxa" w:w="2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Объединение с изданием</w:t>
            </w:r>
          </w:p>
        </w:tc>
        <w:tc>
          <w:tcPr>
            <w:tcW w:type="dxa" w:w="10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−40,48</w:t>
            </w:r>
          </w:p>
        </w:tc>
        <w:tc>
          <w:tcPr>
            <w:tcW w:type="dxa" w:w="10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−5,91</w:t>
            </w:r>
          </w:p>
        </w:tc>
        <w:tc>
          <w:tcPr>
            <w:tcW w:type="dxa" w:w="10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2,94</w:t>
            </w:r>
          </w:p>
        </w:tc>
        <w:tc>
          <w:tcPr>
            <w:tcW w:type="dxa" w:w="11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−1,62</w:t>
            </w:r>
          </w:p>
        </w:tc>
        <w:tc>
          <w:tcPr>
            <w:tcW w:type="dxa" w:w="10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−0,53</w:t>
            </w:r>
          </w:p>
        </w:tc>
        <w:tc>
          <w:tcPr>
            <w:tcW w:type="dxa" w:w="114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0,88</w:t>
            </w:r>
          </w:p>
        </w:tc>
      </w:tr>
      <w:tr>
        <w:trPr>
          <w:cantSplit/>
        </w:trPr>
        <w:tc>
          <w:tcPr>
            <w:tcW w:type="dxa" w:w="2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3. Рекламное агентство</w:t>
            </w:r>
          </w:p>
        </w:tc>
        <w:tc>
          <w:tcPr>
            <w:tcW w:type="dxa" w:w="10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−13,18</w:t>
            </w:r>
          </w:p>
        </w:tc>
        <w:tc>
          <w:tcPr>
            <w:tcW w:type="dxa" w:w="10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5,16</w:t>
            </w:r>
          </w:p>
        </w:tc>
        <w:tc>
          <w:tcPr>
            <w:tcW w:type="dxa" w:w="10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15,94</w:t>
            </w:r>
          </w:p>
        </w:tc>
        <w:tc>
          <w:tcPr>
            <w:tcW w:type="dxa" w:w="11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−1,98</w:t>
            </w:r>
          </w:p>
        </w:tc>
        <w:tc>
          <w:tcPr>
            <w:tcW w:type="dxa" w:w="10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1,81</w:t>
            </w:r>
          </w:p>
        </w:tc>
        <w:tc>
          <w:tcPr>
            <w:tcW w:type="dxa" w:w="114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10,04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Относительный показатель усиливает принятое решение. Вариант 3 имеет наибольшую рентабельность затрат во всех трёх сценариях, в том числе в пессимистическом (</w:t>
      </w:r>
      <w:r>
        <w:rPr>
          <w:rFonts w:ascii="Times New Roman" w:hAnsi="Times New Roman" w:eastAsia="Times New Roman"/>
          <w:b w:val="0"/>
          <w:i/>
          <w:sz w:val="28"/>
        </w:rPr>
        <w:t>−13,18 %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против </w:t>
      </w:r>
      <w:r>
        <w:rPr>
          <w:rFonts w:ascii="Times New Roman" w:hAnsi="Times New Roman" w:eastAsia="Times New Roman"/>
          <w:b w:val="0"/>
          <w:i/>
          <w:sz w:val="28"/>
        </w:rPr>
        <w:t>−20,63 %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/>
          <w:sz w:val="28"/>
        </w:rPr>
        <w:t>−40,48 %</w:t>
      </w:r>
      <w:r>
        <w:rPr>
          <w:rFonts w:ascii="Times New Roman" w:hAnsi="Times New Roman" w:eastAsia="Times New Roman"/>
          <w:b w:val="0"/>
          <w:i w:val="0"/>
          <w:sz w:val="28"/>
        </w:rPr>
        <w:t>). Преимущество варианта 2 по критерию консерватора объяснялось только малым масштабом операции: его абсолютный убыток невелик, но каждый вложенный рубль окупается хуже всех. Таким образом, по абсолютной прибыли «осторожным» выглядит вариант 2, а по рентабельности затрат - вариант 3, что и подтверждает выбор группы.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4.7. Стратегия и тактика по выбранной альтернативе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Стратегия: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развить рекламную газету в связку «издание + рекламное агентство», получающую доход не только от тиража, но и от услуг рекламодателям.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Тактические действия первого этапа: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провести интервью с действующими и потенциальными рекламодателями и собрать предварительные заявки;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сформировать минимальный пакет услуг и пилотную команду без немедленного масштабного увеличения постоянных расходов;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установить порог запуска: покрытие не менее установленной доли затрат </w:t>
      </w:r>
      <w:r>
        <w:rPr>
          <w:rFonts w:ascii="Times New Roman" w:hAnsi="Times New Roman" w:eastAsia="Times New Roman"/>
          <w:b w:val="0"/>
          <w:i/>
          <w:sz w:val="28"/>
        </w:rPr>
        <w:t>З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подтверждёнными заказами;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через три месяца проверить фактические продажи, валовую маржу, стоимость привлечения клиента и выполнение сроков;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при реализации пессимистических сигналов сократить пилот до прибыльных услуг, пересмотреть каналы продвижения и не переходить ко второй фазе инвестиций.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5. Задание 2. Анализ ситуации на предприятии по производству мороженого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5.1. Исходная ситуация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одного из отделов крупного предприятия по производству мороженого постоянно недоволен текущим состоянием фирмы. Менеджер предложил ему разработать рекомендации с использованием метода сценариев. Руководитель отдела предложил: расширить ассортимент; реорганизовать систему поставок; изменить организационную структуру; освоить новую технологию производства; усилить контроль со стороны руководства [1, с. 181–182].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условии отсутствуют цифры, поэтому нельзя честно ранжировать предложения по финансовому эффекту. Корректный результат задания - логически связанные </w:t>
      </w:r>
      <w:r>
        <w:rPr>
          <w:rFonts w:ascii="Times New Roman" w:hAnsi="Times New Roman" w:eastAsia="Times New Roman"/>
          <w:b/>
          <w:i w:val="0"/>
          <w:sz w:val="28"/>
        </w:rPr>
        <w:t>гипотезы о проблемах</w:t>
      </w:r>
      <w:r>
        <w:rPr>
          <w:rFonts w:ascii="Times New Roman" w:hAnsi="Times New Roman" w:eastAsia="Times New Roman"/>
          <w:b w:val="0"/>
          <w:i w:val="0"/>
          <w:sz w:val="28"/>
        </w:rPr>
        <w:t>, перечень данных для их проверки и последовательность сценарного анализа, а не заявление о доказанных фактах.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5.2. Предполагаемые проблемы и причины предложений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1127"/>
        <w:gridCol w:w="2396"/>
        <w:gridCol w:w="2877"/>
        <w:gridCol w:w="2955"/>
      </w:tblGrid>
      <w:tr>
        <w:trPr>
          <w:cantSplit/>
          <w:tblHeader w:val="true"/>
        </w:trPr>
        <w:tc>
          <w:tcPr>
            <w:tcW w:type="dxa" w:w="11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Предложение</w:t>
            </w:r>
          </w:p>
        </w:tc>
        <w:tc>
          <w:tcPr>
            <w:tcW w:type="dxa" w:w="23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Какую проблему оно может сигнализировать</w:t>
            </w:r>
          </w:p>
        </w:tc>
        <w:tc>
          <w:tcPr>
            <w:tcW w:type="dxa" w:w="28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Логичное предположение о причине</w:t>
            </w:r>
          </w:p>
        </w:tc>
        <w:tc>
          <w:tcPr>
            <w:tcW w:type="dxa" w:w="29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Какие данные нужны для проверки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Расширить ассортимент</w:t>
            </w:r>
          </w:p>
        </w:tc>
        <w:tc>
          <w:tcPr>
            <w:tcW w:type="dxa" w:w="23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Продажи не растут, предложение не соответствует сегментам спроса или сезонности</w:t>
            </w:r>
          </w:p>
        </w:tc>
        <w:tc>
          <w:tcPr>
            <w:tcW w:type="dxa" w:w="28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Ассортимент однообразен, часть товаров устарела, конкурент предлагает более удобные форматы и вкусы</w:t>
            </w:r>
          </w:p>
        </w:tc>
        <w:tc>
          <w:tcPr>
            <w:tcW w:type="dxa" w:w="29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Продажи и валовая маржа по SKU, доля списаний, опрос покупателей, ассортимент конкурентов, сезонный спрос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Реорганизовать систему поставок</w:t>
            </w:r>
          </w:p>
        </w:tc>
        <w:tc>
          <w:tcPr>
            <w:tcW w:type="dxa" w:w="23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Срывы поставок, избыток запасов, дефицит сырья или высокая закупочная цена</w:t>
            </w:r>
          </w:p>
        </w:tc>
        <w:tc>
          <w:tcPr>
            <w:tcW w:type="dxa" w:w="28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Ненадёжные поставщики, слабое планирование, длительный цикл заказа, отсутствие норм запасов</w:t>
            </w:r>
          </w:p>
        </w:tc>
        <w:tc>
          <w:tcPr>
            <w:tcW w:type="dxa" w:w="29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OTIF поставщиков, срок поставки, цена сырья, запас в днях, списания, доля остановок производства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Изменить организационную структуру</w:t>
            </w:r>
          </w:p>
        </w:tc>
        <w:tc>
          <w:tcPr>
            <w:tcW w:type="dxa" w:w="23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Решения принимаются медленно, функции дублируются, ответственность размыта</w:t>
            </w:r>
          </w:p>
        </w:tc>
        <w:tc>
          <w:tcPr>
            <w:tcW w:type="dxa" w:w="28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Рост фирмы не сопровождался изменением полномочий; сбыт, производство и логистика действуют несогласованно</w:t>
            </w:r>
          </w:p>
        </w:tc>
        <w:tc>
          <w:tcPr>
            <w:tcW w:type="dxa" w:w="29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Карта процессов, время согласований, число передач между отделами, матрица ответственности, конфликтные точки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Освоить новую технологию</w:t>
            </w:r>
          </w:p>
        </w:tc>
        <w:tc>
          <w:tcPr>
            <w:tcW w:type="dxa" w:w="23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Высокая себестоимость, нестабильное качество, ограничение мощности или санитарные риски</w:t>
            </w:r>
          </w:p>
        </w:tc>
        <w:tc>
          <w:tcPr>
            <w:tcW w:type="dxa" w:w="28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Оборудование устарело, велика доля ручного труда, технология не отвечает требованиям рынка</w:t>
            </w:r>
          </w:p>
        </w:tc>
        <w:tc>
          <w:tcPr>
            <w:tcW w:type="dxa" w:w="29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OEE, брак, энергозатраты, себестоимость партии, производительность, CAPEX и срок окупаемости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Усилить контроль руководства</w:t>
            </w:r>
          </w:p>
        </w:tc>
        <w:tc>
          <w:tcPr>
            <w:tcW w:type="dxa" w:w="23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План, стандарты качества или решения подразделений не выполняются</w:t>
            </w:r>
          </w:p>
        </w:tc>
        <w:tc>
          <w:tcPr>
            <w:tcW w:type="dxa" w:w="28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Нет понятных показателей, обратной связи и ответственности либо контроль уже воспринимается как замена управления</w:t>
            </w:r>
          </w:p>
        </w:tc>
        <w:tc>
          <w:tcPr>
            <w:tcW w:type="dxa" w:w="29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Выполнение планов, отклонения качества, текучесть, причины простоев, регулярность совещаний, полномочия руководителей</w:t>
            </w:r>
          </w:p>
        </w:tc>
      </w:tr>
    </w:tbl>
    <w:p>
      <w:pPr>
        <w:spacing w:line="240" w:lineRule="auto" w:before="0" w:after="0"/>
      </w:pP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5.3. Обобщённый диагноз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Предложения затрагивают почти всю цепочку создания ценности: </w:t>
      </w:r>
      <w:r>
        <w:rPr>
          <w:rFonts w:ascii="Times New Roman" w:hAnsi="Times New Roman" w:eastAsia="Times New Roman"/>
          <w:b/>
          <w:i w:val="0"/>
          <w:sz w:val="28"/>
        </w:rPr>
        <w:t>рынок → ассортимент → закупки → производство → управление</w:t>
      </w:r>
      <w:r>
        <w:rPr>
          <w:rFonts w:ascii="Times New Roman" w:hAnsi="Times New Roman" w:eastAsia="Times New Roman"/>
          <w:b w:val="0"/>
          <w:i w:val="0"/>
          <w:sz w:val="28"/>
        </w:rPr>
        <w:t>. Это позволяет предположить, что недовольство вызвано не одной частной неисправностью, а рассогласованием системы управления. Возможная первопричина - предприятие принимает решения реактивно: сначала возникает дефицит, жалоба или падение продаж, а затем отдельный отдел требует изменения, не имея общей картины спроса, запасов, мощности и ответственности.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Особое внимание требуется к предложению «усилить контроль». Оно оправдано, если отсутствуют прозрачные стандарты, показатели и корректирующие действия. Однако усиление только административного контроля без устранения причин задержек, дефицита и брака может ухудшить климат и скрыть информацию. Более полезен контур управления: понятные цели → показатели → регулярный анализ отклонений → решение о корректировке → проверка эффекта.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5.4. Предлагаемая сценарная работа для предприятия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740"/>
        <w:gridCol w:w="3111"/>
        <w:gridCol w:w="2221"/>
        <w:gridCol w:w="3283"/>
      </w:tblGrid>
      <w:tr>
        <w:trPr>
          <w:cantSplit/>
          <w:tblHeader w:val="true"/>
        </w:trPr>
        <w:tc>
          <w:tcPr>
            <w:tcW w:type="dxa" w:w="7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Сценарий</w:t>
            </w:r>
          </w:p>
        </w:tc>
        <w:tc>
          <w:tcPr>
            <w:tcW w:type="dxa" w:w="3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Согласованный набор предположений</w:t>
            </w:r>
          </w:p>
        </w:tc>
        <w:tc>
          <w:tcPr>
            <w:tcW w:type="dxa" w:w="2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Возможные последствия</w:t>
            </w:r>
          </w:p>
        </w:tc>
        <w:tc>
          <w:tcPr>
            <w:tcW w:type="dxa" w:w="32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Приоритетные действия</w:t>
            </w:r>
          </w:p>
        </w:tc>
      </w:tr>
      <w:tr>
        <w:trPr>
          <w:cantSplit/>
        </w:trPr>
        <w:tc>
          <w:tcPr>
            <w:tcW w:type="dxa" w:w="7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Пессимистический</w:t>
            </w:r>
          </w:p>
        </w:tc>
        <w:tc>
          <w:tcPr>
            <w:tcW w:type="dxa" w:w="3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Сезонный спрос снижается; цены на молочную продукцию растут; поставщик задерживает сырьё; конкуренты проводят ценовые акции</w:t>
            </w:r>
          </w:p>
        </w:tc>
        <w:tc>
          <w:tcPr>
            <w:tcW w:type="dxa" w:w="2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Рост себестоимости, дефицит отдельных позиций, списания, давление на маржу</w:t>
            </w:r>
          </w:p>
        </w:tc>
        <w:tc>
          <w:tcPr>
            <w:tcW w:type="dxa" w:w="32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Договориться о резервных поставщиках, сократить низкомаржинальные SKU, установить нормы запасов, защитить ключевые продукты</w:t>
            </w:r>
          </w:p>
        </w:tc>
      </w:tr>
      <w:tr>
        <w:trPr>
          <w:cantSplit/>
        </w:trPr>
        <w:tc>
          <w:tcPr>
            <w:tcW w:type="dxa" w:w="7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Наиболее вероятный</w:t>
            </w:r>
          </w:p>
        </w:tc>
        <w:tc>
          <w:tcPr>
            <w:tcW w:type="dxa" w:w="3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Спрос остаётся на текущем уровне с сезонными колебаниями; возможны локальные сбои поставок; ресурсы на CAPEX ограничены</w:t>
            </w:r>
          </w:p>
        </w:tc>
        <w:tc>
          <w:tcPr>
            <w:tcW w:type="dxa" w:w="2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Улучшение возможно за счёт процессов, а не полного переоснащения</w:t>
            </w:r>
          </w:p>
        </w:tc>
        <w:tc>
          <w:tcPr>
            <w:tcW w:type="dxa" w:w="32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ABC/XYZ-анализ ассортимента, пилот реорганизации поставок, закрепление ответственности за сквозной процесс «заказ–производство–отгрузка»</w:t>
            </w:r>
          </w:p>
        </w:tc>
      </w:tr>
      <w:tr>
        <w:trPr>
          <w:cantSplit/>
        </w:trPr>
        <w:tc>
          <w:tcPr>
            <w:tcW w:type="dxa" w:w="7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Оптимистический</w:t>
            </w:r>
          </w:p>
        </w:tc>
        <w:tc>
          <w:tcPr>
            <w:tcW w:type="dxa" w:w="3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Спрос на новые форматы растёт; доступно финансирование; поставщики и партнёры готовы к долгосрочным контрактам</w:t>
            </w:r>
          </w:p>
        </w:tc>
        <w:tc>
          <w:tcPr>
            <w:tcW w:type="dxa" w:w="22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Можно расширить ассортимент и инвестировать в технологию без ухудшения ликвидности</w:t>
            </w:r>
          </w:p>
        </w:tc>
        <w:tc>
          <w:tcPr>
            <w:tcW w:type="dxa" w:w="32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Запустить ограниченную линейку новинок, провести технико-экономическое обоснование новой технологии, масштабировать после пилота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Промежуточный вывод по заданию 2: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первым шагом должна быть не немедленная смена структуры и не усиление контроля, а единая диагностика процесса и показателей. В наиболее вероятном сценарии разумна умеренная стратегия: улучшить поставки и управление ассортиментом, закрепить ответственность за сквозной процесс и только затем принимать решение о капиталоёмкой технологии.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6. Задание 3. Собственная проблемная ситуация и сценарий развития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6.1. Кейс и формулировка проблемы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Кейс «Вектор-Пак».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ООО «Вектор-Пак» производит гофрокартонную упаковку для пищевых предприятий региона. Выручка за прошлый год составила 66 млн руб., операционная маржа - 6%, загрузка мощности - 68%. На двух крупнейших клиентов приходится 57% выручки. Руководство рассматривает трёхлетнюю стратегию: сохранить текущую модель, вложиться в диверсификацию клиентской базы и частичную автоматизацию либо сразу приобрести новую производственную линию и расширить склад.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Проблемная ситуация: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текущая модель создаёт зависимость от двух клиентов и недозагрузку мощности. Агрессивное расширение способно повысить выручку, но при дорогом кредите и слабом спросе ухудшит ликвидность. Необходимо выбрать стратегию на 2026–2028 гг., которая снижает концентрационный риск и остаётся жизнеспособной при неблагоприятной среде.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к концу третьего года довести загрузку мощностей минимум до 80%, снизить долю крупнейшего клиента до 35% или меньше и обеспечить операционную маржу не ниже 8%, не превышая лимит первоначальных инвестиций 8 млн руб.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6.2. Сферы влияния и показатели будущего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1350"/>
        <w:gridCol w:w="3744"/>
        <w:gridCol w:w="4261"/>
      </w:tblGrid>
      <w:tr>
        <w:trPr>
          <w:cantSplit/>
          <w:tblHeader w:val="true"/>
        </w:trPr>
        <w:tc>
          <w:tcPr>
            <w:tcW w:type="dxa" w:w="1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Сфера влияния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Критическая точка</w:t>
            </w:r>
          </w:p>
        </w:tc>
        <w:tc>
          <w:tcPr>
            <w:tcW w:type="dxa" w:w="42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Индикаторы будущего состояния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Рынок и клиенты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Спрос пищевых производителей, концентрация выручки, ценовая конкуренция</w:t>
            </w:r>
          </w:p>
        </w:tc>
        <w:tc>
          <w:tcPr>
            <w:tcW w:type="dxa" w:w="42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Загрузка мощностей; число новых контрактов; доля крупнейшего клиента; средняя цена заказа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Сырьё и логистика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Цена и ритмичность поставок картона, транспортные затраты</w:t>
            </w:r>
          </w:p>
        </w:tc>
        <w:tc>
          <w:tcPr>
            <w:tcW w:type="dxa" w:w="42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Цена сырья; запас в днях; OTIF поставщиков; доля срочных доставок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Производство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Мощность, простои, качество, энергопотребление</w:t>
            </w:r>
          </w:p>
        </w:tc>
        <w:tc>
          <w:tcPr>
            <w:tcW w:type="dxa" w:w="42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OEE; брак; себестоимость 1 м²; производительность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Финансы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Стоимость кредита, денежный поток, инвестиционный лимит</w:t>
            </w:r>
          </w:p>
        </w:tc>
        <w:tc>
          <w:tcPr>
            <w:tcW w:type="dxa" w:w="42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Операционная маржа; DSCR; CAPEX; свободный денежный поток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Люди и управление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Компетенции, способность вести B2B-продажи, скорость решений</w:t>
            </w:r>
          </w:p>
        </w:tc>
        <w:tc>
          <w:tcPr>
            <w:tcW w:type="dxa" w:w="42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Укомплектованность; срок подготовки КП; выполнение плана действий</w:t>
            </w:r>
          </w:p>
        </w:tc>
      </w:tr>
    </w:tbl>
    <w:p>
      <w:pPr>
        <w:spacing w:line="240" w:lineRule="auto" w:before="0" w:after="0"/>
      </w:pP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6.3. Альтернативы стратегии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1713"/>
        <w:gridCol w:w="3152"/>
        <w:gridCol w:w="2244"/>
        <w:gridCol w:w="2246"/>
      </w:tblGrid>
      <w:tr>
        <w:trPr>
          <w:cantSplit/>
          <w:tblHeader w:val="true"/>
        </w:trPr>
        <w:tc>
          <w:tcPr>
            <w:tcW w:type="dxa" w:w="17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Альтернатива</w:t>
            </w:r>
          </w:p>
        </w:tc>
        <w:tc>
          <w:tcPr>
            <w:tcW w:type="dxa" w:w="3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Содержание</w:t>
            </w:r>
          </w:p>
        </w:tc>
        <w:tc>
          <w:tcPr>
            <w:tcW w:type="dxa" w:w="22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Предполагаемые преимущества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Основной риск</w:t>
            </w:r>
          </w:p>
        </w:tc>
      </w:tr>
      <w:tr>
        <w:trPr>
          <w:cantSplit/>
        </w:trPr>
        <w:tc>
          <w:tcPr>
            <w:tcW w:type="dxa" w:w="17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А. Сохранение текущей модели</w:t>
            </w:r>
          </w:p>
        </w:tc>
        <w:tc>
          <w:tcPr>
            <w:tcW w:type="dxa" w:w="3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инвестировать; удерживать двух ключевых клиентов; локально сокращать затраты</w:t>
            </w:r>
          </w:p>
        </w:tc>
        <w:tc>
          <w:tcPr>
            <w:tcW w:type="dxa" w:w="22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Минимальный CAPEX и быстрый запуск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Концентрация выручки и недозагрузка сохраняются</w:t>
            </w:r>
          </w:p>
        </w:tc>
      </w:tr>
      <w:tr>
        <w:trPr>
          <w:cantSplit/>
        </w:trPr>
        <w:tc>
          <w:tcPr>
            <w:tcW w:type="dxa" w:w="17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Б. Поэтапная диверсификация и частичная автоматизация</w:t>
            </w:r>
          </w:p>
        </w:tc>
        <w:tc>
          <w:tcPr>
            <w:tcW w:type="dxa" w:w="3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Пилот продаж в новых сегментах, два новых B2B-контракта, бережливые улучшения, автоматизация участка в пределах 8 млн руб.</w:t>
            </w:r>
          </w:p>
        </w:tc>
        <w:tc>
          <w:tcPr>
            <w:tcW w:type="dxa" w:w="22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Снижение концентрации при контролируемом риске; рост мощности и маржи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Требуются дисциплина проекта и подтверждение спроса до второй фазы</w:t>
            </w:r>
          </w:p>
        </w:tc>
      </w:tr>
      <w:tr>
        <w:trPr>
          <w:cantSplit/>
        </w:trPr>
        <w:tc>
          <w:tcPr>
            <w:tcW w:type="dxa" w:w="17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В. Полное расширение сразу</w:t>
            </w:r>
          </w:p>
        </w:tc>
        <w:tc>
          <w:tcPr>
            <w:tcW w:type="dxa" w:w="3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Новая линия и склад, быстрый набор клиентов и мощности</w:t>
            </w:r>
          </w:p>
        </w:tc>
        <w:tc>
          <w:tcPr>
            <w:tcW w:type="dxa" w:w="22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Максимальный потенциал роста в благоприятной среде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Высокий долг, избыток мощности и уязвимость к спаду спроса</w:t>
            </w:r>
          </w:p>
        </w:tc>
      </w:tr>
    </w:tbl>
    <w:p>
      <w:pPr>
        <w:spacing w:line="240" w:lineRule="auto" w:before="0" w:after="0"/>
      </w:pP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6.4. Наборы предположений: три сценария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702"/>
        <w:gridCol w:w="3434"/>
        <w:gridCol w:w="1959"/>
        <w:gridCol w:w="3260"/>
      </w:tblGrid>
      <w:tr>
        <w:trPr>
          <w:cantSplit/>
          <w:tblHeader w:val="true"/>
        </w:trPr>
        <w:tc>
          <w:tcPr>
            <w:tcW w:type="dxa" w:w="7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Сценарий</w:t>
            </w:r>
          </w:p>
        </w:tc>
        <w:tc>
          <w:tcPr>
            <w:tcW w:type="dxa" w:w="3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Ключевые предположения</w:t>
            </w:r>
          </w:p>
        </w:tc>
        <w:tc>
          <w:tcPr>
            <w:tcW w:type="dxa" w:w="19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Проверяемые показатели к концу 3-го года</w:t>
            </w:r>
          </w:p>
        </w:tc>
        <w:tc>
          <w:tcPr>
            <w:tcW w:type="dxa" w:w="3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Разрушительное событие и реакция</w:t>
            </w:r>
          </w:p>
        </w:tc>
      </w:tr>
      <w:tr>
        <w:trPr>
          <w:cantSplit/>
        </w:trPr>
        <w:tc>
          <w:tcPr>
            <w:tcW w:type="dxa" w:w="7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Пессимистический</w:t>
            </w:r>
          </w:p>
        </w:tc>
        <w:tc>
          <w:tcPr>
            <w:tcW w:type="dxa" w:w="3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Один крупный клиент сокращает объём на 25%; цена картона растёт на 18%; ставка финансирования остаётся высокой; новые продажи идут медленнее плана</w:t>
            </w:r>
          </w:p>
        </w:tc>
        <w:tc>
          <w:tcPr>
            <w:tcW w:type="dxa" w:w="19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Загрузка 60–65%; маржа 3–5%; риск нарушения лимита ликвидности</w:t>
            </w:r>
          </w:p>
        </w:tc>
        <w:tc>
          <w:tcPr>
            <w:tcW w:type="dxa" w:w="3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Потеря ключевого контракта. Остановить вторую фазу CAPEX, сохранить только окупаемые улучшения, активировать резервных клиентов и поставщиков</w:t>
            </w:r>
          </w:p>
        </w:tc>
      </w:tr>
      <w:tr>
        <w:trPr>
          <w:cantSplit/>
        </w:trPr>
        <w:tc>
          <w:tcPr>
            <w:tcW w:type="dxa" w:w="7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Наиболее вероятный</w:t>
            </w:r>
          </w:p>
        </w:tc>
        <w:tc>
          <w:tcPr>
            <w:tcW w:type="dxa" w:w="3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Текущие клиенты сохраняют объёмы; два новых контракта заключаются поэтапно; цена сырья индексируется в договорах частично; финансирование доступно в пределах лимита</w:t>
            </w:r>
          </w:p>
        </w:tc>
        <w:tc>
          <w:tcPr>
            <w:tcW w:type="dxa" w:w="19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Загрузка 80–82%; маржа 8–9%; доля крупнейшего клиента 33–35%</w:t>
            </w:r>
          </w:p>
        </w:tc>
        <w:tc>
          <w:tcPr>
            <w:tcW w:type="dxa" w:w="3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Задержка автоматизации. Использовать ручной резервный процесс и переносить вторую инвестиционную фазу до устранения узкого места</w:t>
            </w:r>
          </w:p>
        </w:tc>
      </w:tr>
      <w:tr>
        <w:trPr>
          <w:cantSplit/>
        </w:trPr>
        <w:tc>
          <w:tcPr>
            <w:tcW w:type="dxa" w:w="7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Оптимистический</w:t>
            </w:r>
          </w:p>
        </w:tc>
        <w:tc>
          <w:tcPr>
            <w:tcW w:type="dxa" w:w="3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Спрос растёт, три новых клиента подписывают рамочные договоры, цена сырья стабильна, запуск автоматизации не задерживается</w:t>
            </w:r>
          </w:p>
        </w:tc>
        <w:tc>
          <w:tcPr>
            <w:tcW w:type="dxa" w:w="19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Загрузка 88–90%; маржа 11–12%; доля крупнейшего клиента не выше 30%</w:t>
            </w:r>
          </w:p>
        </w:tc>
        <w:tc>
          <w:tcPr>
            <w:tcW w:type="dxa" w:w="3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Всплеск спроса. Временно привлекать контрактный транспорт и дополнительную смену, не покупать мощность до подтверждения устойчивого спроса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Наборы предположений не противоречат друг другу внутри каждого сценария. Например, рост спроса в оптимистическом варианте согласован со стабильной ценой сырья и доступностью финансирования; сочетание «резкое падение спроса» и «мгновенное удешевление кредита» не включено в пессимистический сценарий без отдельного основания.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6.5. Количественная проверка альтернатив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обучения приняты экспертные вероятности сценариев: пессимистический - </w:t>
      </w:r>
      <w:r>
        <w:rPr>
          <w:rFonts w:ascii="Times New Roman" w:hAnsi="Times New Roman" w:eastAsia="Times New Roman"/>
          <w:b w:val="0"/>
          <w:i/>
          <w:sz w:val="28"/>
        </w:rPr>
        <w:t>0,25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наиболее вероятный - </w:t>
      </w:r>
      <w:r>
        <w:rPr>
          <w:rFonts w:ascii="Times New Roman" w:hAnsi="Times New Roman" w:eastAsia="Times New Roman"/>
          <w:b w:val="0"/>
          <w:i/>
          <w:sz w:val="28"/>
        </w:rPr>
        <w:t>0,55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оптимистический - </w:t>
      </w:r>
      <w:r>
        <w:rPr>
          <w:rFonts w:ascii="Times New Roman" w:hAnsi="Times New Roman" w:eastAsia="Times New Roman"/>
          <w:b w:val="0"/>
          <w:i/>
          <w:sz w:val="28"/>
        </w:rPr>
        <w:t>0,20</w:t>
      </w:r>
      <w:r>
        <w:rPr>
          <w:rFonts w:ascii="Times New Roman" w:hAnsi="Times New Roman" w:eastAsia="Times New Roman"/>
          <w:b w:val="0"/>
          <w:i w:val="0"/>
          <w:sz w:val="28"/>
        </w:rPr>
        <w:t>. Они служат не прогнозом, а прозрачным допущением для сопоставления стратегий. Ожидаемый операционный результат рассчитывается по формуле: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E(Πᵢ) = 0,25 × Πᵢ,пес + 0,55 × Πᵢ,нв + 0,20 × Πᵢ,опт.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2246"/>
        <w:gridCol w:w="989"/>
        <w:gridCol w:w="930"/>
        <w:gridCol w:w="1006"/>
        <w:gridCol w:w="2557"/>
        <w:gridCol w:w="1627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Стратегия</w:t>
            </w:r>
          </w:p>
        </w:tc>
        <w:tc>
          <w:tcPr>
            <w:tcW w:type="dxa" w:w="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Πпес, млн руб.</w:t>
            </w:r>
          </w:p>
        </w:tc>
        <w:tc>
          <w:tcPr>
            <w:tcW w:type="dxa" w:w="93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Πнв, млн руб.</w:t>
            </w:r>
          </w:p>
        </w:tc>
        <w:tc>
          <w:tcPr>
            <w:tcW w:type="dxa" w:w="1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Πопт, млн руб.</w:t>
            </w:r>
          </w:p>
        </w:tc>
        <w:tc>
          <w:tcPr>
            <w:tcW w:type="dxa" w:w="2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Расчёт </w:t>
            </w:r>
            <w:r>
              <w:rPr>
                <w:rFonts w:ascii="Times New Roman" w:hAnsi="Times New Roman" w:eastAsia="Times New Roman"/>
                <w:b/>
                <w:i/>
                <w:sz w:val="20"/>
              </w:rPr>
              <w:t>E(Π)</w:t>
            </w:r>
          </w:p>
        </w:tc>
        <w:tc>
          <w:tcPr>
            <w:tcW w:type="dxa" w:w="16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Ожидаемый результат, млн руб.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А. Сохранение текущей модели</w:t>
            </w:r>
          </w:p>
        </w:tc>
        <w:tc>
          <w:tcPr>
            <w:tcW w:type="dxa" w:w="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2,0</w:t>
            </w:r>
          </w:p>
        </w:tc>
        <w:tc>
          <w:tcPr>
            <w:tcW w:type="dxa" w:w="93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4,5</w:t>
            </w:r>
          </w:p>
        </w:tc>
        <w:tc>
          <w:tcPr>
            <w:tcW w:type="dxa" w:w="1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5,5</w:t>
            </w:r>
          </w:p>
        </w:tc>
        <w:tc>
          <w:tcPr>
            <w:tcW w:type="dxa" w:w="2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0,25×2,0 + 0,55×4,5 + 0,20×5,5</w:t>
            </w:r>
          </w:p>
        </w:tc>
        <w:tc>
          <w:tcPr>
            <w:tcW w:type="dxa" w:w="16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4,075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Б. Поэтапная диверсификация</w:t>
            </w:r>
          </w:p>
        </w:tc>
        <w:tc>
          <w:tcPr>
            <w:tcW w:type="dxa" w:w="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93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8,0</w:t>
            </w:r>
          </w:p>
        </w:tc>
        <w:tc>
          <w:tcPr>
            <w:tcW w:type="dxa" w:w="1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13,5</w:t>
            </w:r>
          </w:p>
        </w:tc>
        <w:tc>
          <w:tcPr>
            <w:tcW w:type="dxa" w:w="2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0,25×1,5 + 0,55×8,0 + 0,20×13,5</w:t>
            </w:r>
          </w:p>
        </w:tc>
        <w:tc>
          <w:tcPr>
            <w:tcW w:type="dxa" w:w="16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7,475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В. Полное расширение сразу</w:t>
            </w:r>
          </w:p>
        </w:tc>
        <w:tc>
          <w:tcPr>
            <w:tcW w:type="dxa" w:w="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−6,0</w:t>
            </w:r>
          </w:p>
        </w:tc>
        <w:tc>
          <w:tcPr>
            <w:tcW w:type="dxa" w:w="93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7,0</w:t>
            </w:r>
          </w:p>
        </w:tc>
        <w:tc>
          <w:tcPr>
            <w:tcW w:type="dxa" w:w="100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18,0</w:t>
            </w:r>
          </w:p>
        </w:tc>
        <w:tc>
          <w:tcPr>
            <w:tcW w:type="dxa" w:w="25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0,25×(−6,0) + 0,55×7,0 + 0,20×18,0</w:t>
            </w:r>
          </w:p>
        </w:tc>
        <w:tc>
          <w:tcPr>
            <w:tcW w:type="dxa" w:w="16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5,950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Одного ожидаемого значения недостаточно: оно может скрыть неприемлемый убыток. Поэтому применена многокритериальная проверка по шкале от 1 до 5.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3923"/>
        <w:gridCol w:w="1111"/>
        <w:gridCol w:w="1111"/>
        <w:gridCol w:w="1765"/>
        <w:gridCol w:w="1445"/>
      </w:tblGrid>
      <w:tr>
        <w:trPr>
          <w:cantSplit/>
          <w:tblHeader w:val="true"/>
        </w:trPr>
        <w:tc>
          <w:tcPr>
            <w:tcW w:type="dxa" w:w="39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Критерий</w:t>
            </w:r>
          </w:p>
        </w:tc>
        <w:tc>
          <w:tcPr>
            <w:tcW w:type="dxa" w:w="1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Вес</w:t>
            </w:r>
          </w:p>
        </w:tc>
        <w:tc>
          <w:tcPr>
            <w:tcW w:type="dxa" w:w="1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А. Сохранение</w:t>
            </w:r>
          </w:p>
        </w:tc>
        <w:tc>
          <w:tcPr>
            <w:tcW w:type="dxa" w:w="17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Б. Поэтапная диверсификация</w:t>
            </w:r>
          </w:p>
        </w:tc>
        <w:tc>
          <w:tcPr>
            <w:tcW w:type="dxa" w:w="14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В. Полное расширение</w:t>
            </w:r>
          </w:p>
        </w:tc>
      </w:tr>
      <w:tr>
        <w:trPr>
          <w:cantSplit/>
        </w:trPr>
        <w:tc>
          <w:tcPr>
            <w:tcW w:type="dxa" w:w="39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Ожидаемый операционный результат</w:t>
            </w:r>
          </w:p>
        </w:tc>
        <w:tc>
          <w:tcPr>
            <w:tcW w:type="dxa" w:w="1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0,35</w:t>
            </w:r>
          </w:p>
        </w:tc>
        <w:tc>
          <w:tcPr>
            <w:tcW w:type="dxa" w:w="1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9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Защита от неблагоприятного сценария</w:t>
            </w:r>
          </w:p>
        </w:tc>
        <w:tc>
          <w:tcPr>
            <w:tcW w:type="dxa" w:w="1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1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9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Снижение зависимости от крупнейших клиентов</w:t>
            </w:r>
          </w:p>
        </w:tc>
        <w:tc>
          <w:tcPr>
            <w:tcW w:type="dxa" w:w="1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0,20</w:t>
            </w:r>
          </w:p>
        </w:tc>
        <w:tc>
          <w:tcPr>
            <w:tcW w:type="dxa" w:w="1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9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Соблюдение лимита первоначального CAPEX</w:t>
            </w:r>
          </w:p>
        </w:tc>
        <w:tc>
          <w:tcPr>
            <w:tcW w:type="dxa" w:w="1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0,20</w:t>
            </w:r>
          </w:p>
        </w:tc>
        <w:tc>
          <w:tcPr>
            <w:tcW w:type="dxa" w:w="1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92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Итоговая оценка</w:t>
            </w:r>
          </w:p>
        </w:tc>
        <w:tc>
          <w:tcPr>
            <w:tcW w:type="dxa" w:w="1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1,00</w:t>
            </w:r>
          </w:p>
        </w:tc>
        <w:tc>
          <w:tcPr>
            <w:tcW w:type="dxa" w:w="111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3,50</w:t>
            </w:r>
          </w:p>
        </w:tc>
        <w:tc>
          <w:tcPr>
            <w:tcW w:type="dxa" w:w="17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4,55</w:t>
            </w:r>
          </w:p>
        </w:tc>
        <w:tc>
          <w:tcPr>
            <w:tcW w:type="dxa" w:w="14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2,65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Расчёт для стратегии Б: </w:t>
      </w:r>
      <w:r>
        <w:rPr>
          <w:rFonts w:ascii="Times New Roman" w:hAnsi="Times New Roman" w:eastAsia="Times New Roman"/>
          <w:b w:val="0"/>
          <w:i/>
          <w:sz w:val="28"/>
        </w:rPr>
        <w:t>0,35×5 + 0,25×4 + 0,20×5 + 0,20×4 = 4,55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ВЫБОР ДЛЯ КЕЙСА «ВЕКТОР-ПАК»: СТРАТЕГИЯ Б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Поэтапная диверсификация и частичная автоматизация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имеют максимальный ожидаемый операционный результат - </w:t>
      </w:r>
      <w:r>
        <w:rPr>
          <w:rFonts w:ascii="Times New Roman" w:hAnsi="Times New Roman" w:eastAsia="Times New Roman"/>
          <w:b/>
          <w:i w:val="0"/>
          <w:sz w:val="28"/>
        </w:rPr>
        <w:t>7,475 млн руб.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и максимальную многокритериальную оценку - </w:t>
      </w:r>
      <w:r>
        <w:rPr>
          <w:rFonts w:ascii="Times New Roman" w:hAnsi="Times New Roman" w:eastAsia="Times New Roman"/>
          <w:b/>
          <w:i w:val="0"/>
          <w:sz w:val="28"/>
        </w:rPr>
        <w:t>4,55 из 5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. Стратегия В имеет более высокий оптимистический потенциал, но нарушает требование устойчивости: в пессимистическом сценарии прогнозируется убыток </w:t>
      </w:r>
      <w:r>
        <w:rPr>
          <w:rFonts w:ascii="Times New Roman" w:hAnsi="Times New Roman" w:eastAsia="Times New Roman"/>
          <w:b w:val="0"/>
          <w:i/>
          <w:sz w:val="28"/>
        </w:rPr>
        <w:t>−6,0 млн руб.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высок риск превышения инвестиционного лимита. Стратегия А безопаснее в кратком периоде, но не устраняет концентрационный риск.</w:t>
      </w:r>
    </w:p>
    <w:p>
      <w:pPr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sz w:val="26"/>
        </w:rPr>
        <w:t>6.6. Стратегия, тактика и контрольные точки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Стратегия: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поэтапно диверсифицировать B2B-клиентскую базу и провести частичную автоматизацию самого узкого участка производства, не переходя к крупному CAPEX без подтверждённого спроса.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826"/>
        <w:gridCol w:w="4195"/>
        <w:gridCol w:w="4334"/>
      </w:tblGrid>
      <w:tr>
        <w:trPr>
          <w:cantSplit/>
          <w:tblHeader w:val="true"/>
        </w:trPr>
        <w:tc>
          <w:tcPr>
            <w:tcW w:type="dxa" w:w="82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Период</w:t>
            </w:r>
          </w:p>
        </w:tc>
        <w:tc>
          <w:tcPr>
            <w:tcW w:type="dxa" w:w="41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Тактическое действие</w:t>
            </w:r>
          </w:p>
        </w:tc>
        <w:tc>
          <w:tcPr>
            <w:tcW w:type="dxa" w:w="43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Контрольный показатель / условие перехода</w:t>
            </w:r>
          </w:p>
        </w:tc>
      </w:tr>
      <w:tr>
        <w:trPr>
          <w:cantSplit/>
        </w:trPr>
        <w:tc>
          <w:tcPr>
            <w:tcW w:type="dxa" w:w="82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0–3 месяца</w:t>
            </w:r>
          </w:p>
        </w:tc>
        <w:tc>
          <w:tcPr>
            <w:tcW w:type="dxa" w:w="41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Картировать сегменты клиентов, подготовить ценностное предложение, проверить экономику заказов и список резервных поставщиков</w:t>
            </w:r>
          </w:p>
        </w:tc>
        <w:tc>
          <w:tcPr>
            <w:tcW w:type="dxa" w:w="43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менее 20 квалифицированных лидов; валовая маржа новых заказов не ниже порога предприятия</w:t>
            </w:r>
          </w:p>
        </w:tc>
      </w:tr>
      <w:tr>
        <w:trPr>
          <w:cantSplit/>
        </w:trPr>
        <w:tc>
          <w:tcPr>
            <w:tcW w:type="dxa" w:w="82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4–6 месяцев</w:t>
            </w:r>
          </w:p>
        </w:tc>
        <w:tc>
          <w:tcPr>
            <w:tcW w:type="dxa" w:w="41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Заключить два пилотных B2B-контракта, внедрить улучшения потока и подготовить ТЭО автоматизации</w:t>
            </w:r>
          </w:p>
        </w:tc>
        <w:tc>
          <w:tcPr>
            <w:tcW w:type="dxa" w:w="43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Загрузка не ниже 74%; отсутствие просрочки по текущим обязательствам; CAPEX в первой фазе не выше 8 млн руб.</w:t>
            </w:r>
          </w:p>
        </w:tc>
      </w:tr>
      <w:tr>
        <w:trPr>
          <w:cantSplit/>
        </w:trPr>
        <w:tc>
          <w:tcPr>
            <w:tcW w:type="dxa" w:w="82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7–12 месяцев</w:t>
            </w:r>
          </w:p>
        </w:tc>
        <w:tc>
          <w:tcPr>
            <w:tcW w:type="dxa" w:w="41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Запустить автоматизацию выбранного участка и ежемесячную панель показателей</w:t>
            </w:r>
          </w:p>
        </w:tc>
        <w:tc>
          <w:tcPr>
            <w:tcW w:type="dxa" w:w="43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Брак и простои снижаются относительно базовой линии; доля крупнейшего клиента начинает снижаться</w:t>
            </w:r>
          </w:p>
        </w:tc>
      </w:tr>
      <w:tr>
        <w:trPr>
          <w:cantSplit/>
        </w:trPr>
        <w:tc>
          <w:tcPr>
            <w:tcW w:type="dxa" w:w="82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Годы 2–3</w:t>
            </w:r>
          </w:p>
        </w:tc>
        <w:tc>
          <w:tcPr>
            <w:tcW w:type="dxa" w:w="419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Масштабировать продажи и решать вопрос о второй фазе мощности</w:t>
            </w:r>
          </w:p>
        </w:tc>
        <w:tc>
          <w:tcPr>
            <w:tcW w:type="dxa" w:w="43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Загрузка не ниже 80%, маржа не ниже 8%, доля крупнейшего клиента не выше 35%, DSCR не ниже 1,5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Триггеры корректировки: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если один клиент сокращает заказ более чем на 15%, приоритетом становятся удержание денежных средств и поиск замещающих заказов, а вторая фаза инвестиций приостанавливается;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если два новых контракта не дают запланированной валовой маржи, не масштабируется скидочная политика: пересматриваются сегмент, продуктовая спецификация и калькуляция;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если загрузка устойчиво выше 85% три месяца подряд при выполнении показателей ликвидности, разрешается подготовка второй фазы мощности;</w:t>
      </w:r>
    </w:p>
    <w:p>
      <w:pPr>
        <w:spacing w:line="360" w:lineRule="auto" w:before="0" w:after="8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если цена сырья растёт быстрее допустимого порога, запускаются оговорки об индексации, альтернативные поставщики и работа над нормами расхода.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7. Результаты работы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Метод сценариев структурирует долгосрочное решение через три согласованных картины будущего, а не через один «средний» прогноз.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В задании 1 рассчитаны сценарные показатели ожидаемой прибыли для трёх вариантов развития рекламной газеты. В наиболее вероятном сценарии максимум составляет </w:t>
      </w:r>
      <w:r>
        <w:rPr>
          <w:rFonts w:ascii="Times New Roman" w:hAnsi="Times New Roman" w:eastAsia="Times New Roman"/>
          <w:b/>
          <w:i w:val="0"/>
          <w:sz w:val="28"/>
        </w:rPr>
        <w:t>12 833,33 руб.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у варианта 3; в оптимистическом - </w:t>
      </w:r>
      <w:r>
        <w:rPr>
          <w:rFonts w:ascii="Times New Roman" w:hAnsi="Times New Roman" w:eastAsia="Times New Roman"/>
          <w:b/>
          <w:i w:val="0"/>
          <w:sz w:val="28"/>
        </w:rPr>
        <w:t>115 500 руб.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также у варианта 3. Это стало основанием выбрать создание рекламного агентства по рационалистическому критерию.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Консервативный выбор отличается: максимин-критерий выделяет вариант 2, так как его худший показатель (</w:t>
      </w:r>
      <w:r>
        <w:rPr>
          <w:rFonts w:ascii="Times New Roman" w:hAnsi="Times New Roman" w:eastAsia="Times New Roman"/>
          <w:b w:val="0"/>
          <w:i/>
          <w:sz w:val="28"/>
        </w:rPr>
        <w:t>−3 173,33 руб.</w:t>
      </w:r>
      <w:r>
        <w:rPr>
          <w:rFonts w:ascii="Times New Roman" w:hAnsi="Times New Roman" w:eastAsia="Times New Roman"/>
          <w:b w:val="0"/>
          <w:i w:val="0"/>
          <w:sz w:val="28"/>
        </w:rPr>
        <w:t>) лучше, чем у других вариантов. Следовательно, критерий отношения к риску существенно влияет на решение и должен быть назван до расчёта, а не после него.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4. Для сравнения вариантов с разным масштабом затрат предложена формула рентабельности затрат </w:t>
      </w:r>
      <w:r>
        <w:rPr>
          <w:rFonts w:ascii="Times New Roman" w:hAnsi="Times New Roman" w:eastAsia="Times New Roman"/>
          <w:b/>
          <w:i w:val="0"/>
          <w:sz w:val="28"/>
        </w:rPr>
        <w:t>R = (Q × (Ц − S) − З) / (S × Q + З) × 100 %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её вероятностная форма </w:t>
      </w:r>
      <w:r>
        <w:rPr>
          <w:rFonts w:ascii="Times New Roman" w:hAnsi="Times New Roman" w:eastAsia="Times New Roman"/>
          <w:b/>
          <w:i w:val="0"/>
          <w:sz w:val="28"/>
        </w:rPr>
        <w:t>Rож = P1 × P2 × R</w:t>
      </w:r>
      <w:r>
        <w:rPr>
          <w:rFonts w:ascii="Times New Roman" w:hAnsi="Times New Roman" w:eastAsia="Times New Roman"/>
          <w:b w:val="0"/>
          <w:i w:val="0"/>
          <w:sz w:val="28"/>
        </w:rPr>
        <w:t>. По рентабельности вариант 3 лучше остальных во всех трёх сценариях, включая пессимистический (</w:t>
      </w:r>
      <w:r>
        <w:rPr>
          <w:rFonts w:ascii="Times New Roman" w:hAnsi="Times New Roman" w:eastAsia="Times New Roman"/>
          <w:b w:val="0"/>
          <w:i/>
          <w:sz w:val="28"/>
        </w:rPr>
        <w:t>−13,18 %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против </w:t>
      </w:r>
      <w:r>
        <w:rPr>
          <w:rFonts w:ascii="Times New Roman" w:hAnsi="Times New Roman" w:eastAsia="Times New Roman"/>
          <w:b w:val="0"/>
          <w:i/>
          <w:sz w:val="28"/>
        </w:rPr>
        <w:t>−20,63 %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/>
          <w:sz w:val="28"/>
        </w:rPr>
        <w:t>−40,48 %</w:t>
      </w:r>
      <w:r>
        <w:rPr>
          <w:rFonts w:ascii="Times New Roman" w:hAnsi="Times New Roman" w:eastAsia="Times New Roman"/>
          <w:b w:val="0"/>
          <w:i w:val="0"/>
          <w:sz w:val="28"/>
        </w:rPr>
        <w:t>), что подтверждает выбор группы.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В задании 2 по набору предложений выявлены вероятные проблемы ассортимента, поставок, структуры, технологии и контроля. Предложения трактуются как гипотезы и требуют проверки данными, а не как готовый диагноз.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6. В собственном кейсе «Вектор-Пак» выбран поэтапный вариант диверсификации. Его ожидаемый результат - </w:t>
      </w:r>
      <w:r>
        <w:rPr>
          <w:rFonts w:ascii="Times New Roman" w:hAnsi="Times New Roman" w:eastAsia="Times New Roman"/>
          <w:b/>
          <w:i w:val="0"/>
          <w:sz w:val="28"/>
        </w:rPr>
        <w:t>7,475 млн руб.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а взвешенная оценка - </w:t>
      </w:r>
      <w:r>
        <w:rPr>
          <w:rFonts w:ascii="Times New Roman" w:hAnsi="Times New Roman" w:eastAsia="Times New Roman"/>
          <w:b/>
          <w:i w:val="0"/>
          <w:sz w:val="28"/>
        </w:rPr>
        <w:t>4,55 из 5</w:t>
      </w:r>
      <w:r>
        <w:rPr>
          <w:rFonts w:ascii="Times New Roman" w:hAnsi="Times New Roman" w:eastAsia="Times New Roman"/>
          <w:b w:val="0"/>
          <w:i w:val="0"/>
          <w:sz w:val="28"/>
        </w:rPr>
        <w:t>. Стратегия сочетает рост и ограничение риска благодаря этапам и триггерам остановки или масштабирования.</w:t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8. Выводы и комментарии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Ценность сценарного метода состоит не в угадывании единственного будущего, а в подготовке к нескольким правдоподобным будущим и в явном описании оснований выбора.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Формула без содержательных допущений может дать ложную точность. В задании 1 специально приведено правило приведения годового объёма к месяцам и правило учёта вероятностей; иной учёт затрат дал бы иные цифры и должен быть отдельно обоснован.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Выбранный по наиболее вероятному сценарию вариант 3 в задании 1 не является безусловно безопасным, поскольку при пессимистическом развитии он убыточен. Поэтому рациональная стратегия сочетается с тактикой пилота, лимита затрат и заранее заданных контрольных условий.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В задании 2 нельзя выбирать капиталоёмкую технологию только потому, что она выглядит современной. Сначала нужны показатели спроса, поставок, качества, мощности, финансов и распределения полномочий.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В собственном кейсе не выбран вариант с наибольшим оптимистическим выигрышем, потому что стратегия должна удовлетворять нескольким критериям: доходность, защита от неблагоприятного развития, снижение зависимости от клиентов и инвестиционное ограничение.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Сценарий должен регулярно пересматриваться. Если меняются цена сырья, спрос, доступность финансирования или поведение клиентов, изменяются и предпосылки, а затем - тактика либо сама стратегия.</w:t>
      </w:r>
    </w:p>
    <w:p>
      <w:pPr>
        <w:spacing w:line="240" w:lineRule="auto" w:before="0" w:after="0"/>
      </w:pPr>
      <w:r>
        <w:br w:type="page"/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9. Список использованных источников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Лукичёва Л. И. Управление организацией: учебное пособие по специальности «Менеджмент организации» / Л. И. Лукичёва; под ред. Ю. П. Анискина. - 3-е изд., стер. - М.: Омега-Л, 2006. - 360 с. - ISBN 5-98119-986-5. - С. 153–155, 181–183.</w:t>
      </w:r>
    </w:p>
    <w:p>
      <w:pPr>
        <w:spacing w:line="360" w:lineRule="auto" w:before="0" w:after="8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International Organization for Standardization. ISO 31000:2018. Risk management - Guidelines. - Geneva: ISO, 2018.</w:t>
      </w:r>
    </w:p>
    <w:p>
      <w:pPr>
        <w:spacing w:line="240" w:lineRule="auto" w:before="0" w:after="0"/>
      </w:pPr>
      <w:r>
        <w:br w:type="page"/>
      </w:r>
    </w:p>
    <w:p>
      <w:pPr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  <w:color w:val="1F4E79"/>
        </w:rPr>
        <w:t>Приложение А. Термины для защиты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желаемое состояние или результат, к которому направлено управленческое действие.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Задача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конкретное действие или подцель, выполнение которой необходимо для достижения цели в заданных условиях и сроке.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Критерий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правило, показатель или признак, по которому сравниваются альтернативы и обосновывается выбор.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Сценарий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внутренне согласованное описание возможного будущего состояния объекта и условий, которые к нему приводят.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Альтернатива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один из сравниваемых способов достижения цели; выбор одной альтернативы обычно исключает или ограничивает другую.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Авантюрист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условный тип лица, принимающего решение по правилу maximax: выбирает альтернативу с наибольшим из возможных выигрышей и принимает высокий риск.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Консерватор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условный тип лица, принимающего решение по правилу maximin: выбирает альтернативу с наилучшим из её худших результатов.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Рационалист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условный тип лица, принимающего решение, который опирается на наиболее вероятный сценарий или обоснованное ожидаемое значение, не игнорируя ограничения и риск.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Стратегия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долгосрочное направление и система принципов достижения целей организации при распределении ресурсов.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Тактика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краткосрочные конкретные действия, сроки, ответственные и приёмы реализации выбранной стратегии.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Кейс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структурированное описание реальной или учебной управленческой ситуации, содержащее проблему, участников, факты и необходимость решения.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Проблемная ситуация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разрыв между текущим и желаемым состоянием, который требует управленческого решения при ограничениях и неопределённости.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Неопределённость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состояние, при котором будущее, состав возможных событий или их вероятности известны недостаточно надёжно.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Риск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сочетание возможности наступления события и последствий этого события; в отличие от полной неопределённости риск допускает хотя бы приближённую оценку вероятности и ущерба.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Семинар № 7 — Некоторые аспекты практического применения метода сценариев</dc:title>
  <dc:subject>Практическое применение метода сценариев</dc:subject>
  <dc:creator>Соловьев А. С.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