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80"/>
        <w:jc w:val="center"/>
      </w:pPr>
      <w:r>
        <w:rPr>
          <w:rFonts w:ascii="Times New Roman" w:hAnsi="Times New Roman"/>
          <w:b/>
          <w:sz w:val="36"/>
        </w:rPr>
        <w:t>СЕМИНАР № 8</w:t>
      </w:r>
    </w:p>
    <w:p>
      <w:pPr>
        <w:spacing w:after="160"/>
        <w:jc w:val="center"/>
      </w:pPr>
      <w:r>
        <w:rPr>
          <w:rFonts w:ascii="Times New Roman" w:hAnsi="Times New Roman"/>
          <w:b/>
          <w:sz w:val="36"/>
        </w:rPr>
        <w:t>ПОШАГОВЫЙ РАЗБОР СИТУАЦИЙ</w:t>
      </w:r>
    </w:p>
    <w:p>
      <w:pPr>
        <w:spacing w:after="800"/>
        <w:jc w:val="center"/>
      </w:pPr>
      <w:r>
        <w:rPr>
          <w:rFonts w:ascii="Times New Roman" w:hAnsi="Times New Roman"/>
          <w:i/>
          <w:sz w:val="28"/>
        </w:rPr>
        <w:t>Принятие решений на основе анализа ситуаций</w:t>
      </w:r>
    </w:p>
    <w:p>
      <w:pPr>
        <w:spacing w:after="160"/>
        <w:jc w:val="right"/>
      </w:pPr>
      <w:r>
        <w:rPr>
          <w:b w:val="0"/>
          <w:sz w:val="28"/>
        </w:rPr>
        <w:t>Исполнитель: студент группы П-41 Соловьев А. С.</w:t>
      </w:r>
    </w:p>
    <w:p>
      <w:pPr>
        <w:spacing w:after="160"/>
        <w:jc w:val="right"/>
      </w:pPr>
      <w:r>
        <w:rPr>
          <w:b w:val="0"/>
          <w:sz w:val="28"/>
        </w:rPr>
        <w:t>Тема письма: П-41_Соловьев_АС_ПЗ-08</w:t>
      </w:r>
    </w:p>
    <w:p>
      <w:pPr>
        <w:spacing w:after="160"/>
        <w:jc w:val="right"/>
      </w:pPr>
      <w:r>
        <w:rPr>
          <w:b w:val="0"/>
          <w:sz w:val="28"/>
        </w:rPr>
        <w:t>Год выполнения: 2026</w:t>
      </w:r>
    </w:p>
    <w:p>
      <w:r>
        <w:br w:type="page"/>
      </w:r>
    </w:p>
    <w:p>
      <w:pPr>
        <w:keepNext/>
        <w:spacing w:before="240" w:after="120"/>
        <w:ind w:firstLine="0"/>
        <w:jc w:val="left"/>
      </w:pPr>
      <w:r>
        <w:rPr>
          <w:rFonts w:ascii="Times New Roman" w:hAnsi="Times New Roman" w:eastAsia="Times New Roman"/>
          <w:b/>
          <w:sz w:val="28"/>
          <w:color w:val="1F4E79"/>
        </w:rPr>
        <w:t>1. Название и цель работы</w:t>
      </w:r>
    </w:p>
    <w:p>
      <w:pPr>
        <w:spacing w:line="360" w:lineRule="auto" w:before="0" w:after="80"/>
        <w:ind w:firstLine="709"/>
        <w:jc w:val="both"/>
      </w:pPr>
      <w:r>
        <w:rPr>
          <w:rFonts w:ascii="Times New Roman" w:hAnsi="Times New Roman" w:eastAsia="Times New Roman"/>
          <w:b/>
          <w:i w:val="0"/>
          <w:sz w:val="28"/>
        </w:rPr>
        <w:t>Название работы:</w:t>
      </w:r>
      <w:r>
        <w:rPr>
          <w:rFonts w:ascii="Times New Roman" w:hAnsi="Times New Roman" w:eastAsia="Times New Roman"/>
          <w:b w:val="0"/>
          <w:i w:val="0"/>
          <w:sz w:val="28"/>
        </w:rPr>
        <w:t xml:space="preserve"> «Принятие управленческих решений на основе метода пошагового разбора ситуаций».</w:t>
      </w:r>
    </w:p>
    <w:p>
      <w:pPr>
        <w:spacing w:line="360" w:lineRule="auto" w:before="0" w:after="80"/>
        <w:ind w:firstLine="709"/>
        <w:jc w:val="both"/>
      </w:pPr>
      <w:r>
        <w:rPr>
          <w:rFonts w:ascii="Times New Roman" w:hAnsi="Times New Roman" w:eastAsia="Times New Roman"/>
          <w:b/>
          <w:i w:val="0"/>
          <w:sz w:val="28"/>
        </w:rPr>
        <w:t>Цель работы:</w:t>
      </w:r>
      <w:r>
        <w:rPr>
          <w:rFonts w:ascii="Times New Roman" w:hAnsi="Times New Roman" w:eastAsia="Times New Roman"/>
          <w:b w:val="0"/>
          <w:i w:val="0"/>
          <w:sz w:val="28"/>
        </w:rPr>
        <w:t xml:space="preserve"> провести пошаговый разбор трёх управленческих ситуаций (кейс-метод): отделить факты условия от предположений, сформулировать цель, проблему, состав участников, хронологию и конфликт, установить критерии и ограничения, сопоставить альтернативы и обосновать рекомендуемое управленческое решение с планом его реализации [1, с. 156–157, 184–185].</w:t>
      </w:r>
    </w:p>
    <w:p>
      <w:pPr>
        <w:spacing w:line="360" w:lineRule="auto" w:before="0" w:after="80"/>
        <w:ind w:firstLine="709"/>
        <w:jc w:val="both"/>
      </w:pPr>
      <w:r>
        <w:rPr>
          <w:rFonts w:ascii="Times New Roman" w:hAnsi="Times New Roman" w:eastAsia="Times New Roman"/>
          <w:b w:val="0"/>
          <w:i w:val="0"/>
          <w:sz w:val="28"/>
        </w:rPr>
        <w:t>Метод пошагового разбора не сводится к поиску единственного «готового ответа». Он заставляет сначала понять ситуацию, интересы участников и дефицит информации, а затем объяснить, почему одно решение предпочтительнее других.</w:t>
      </w:r>
    </w:p>
    <w:p>
      <w:pPr>
        <w:keepNext/>
        <w:spacing w:before="240" w:after="120"/>
        <w:ind w:firstLine="0"/>
        <w:jc w:val="left"/>
      </w:pPr>
      <w:r>
        <w:rPr>
          <w:rFonts w:ascii="Times New Roman" w:hAnsi="Times New Roman" w:eastAsia="Times New Roman"/>
          <w:b/>
          <w:sz w:val="28"/>
          <w:color w:val="1F4E79"/>
        </w:rPr>
        <w:t>2. Список исполнителей и распределение ролей</w:t>
      </w:r>
    </w:p>
    <w:tbl>
      <w:tblPr>
        <w:tblStyle w:val="TableGrid"/>
        <w:tblW w:type="auto" w:w="0"/>
        <w:jc w:val="center"/>
        <w:tblLayout w:type="autofit"/>
        <w:tblLook w:firstColumn="1" w:firstRow="1" w:lastColumn="0" w:lastRow="0" w:noHBand="0" w:noVBand="1" w:val="04A0"/>
        <w:tblLayout w:type="autofit"/>
      </w:tblPr>
      <w:tblGrid>
        <w:gridCol w:w="2257"/>
        <w:gridCol w:w="1861"/>
        <w:gridCol w:w="5237"/>
      </w:tblGrid>
      <w:tr>
        <w:trPr>
          <w:cantSplit/>
          <w:tblHeader w:val="true"/>
        </w:trPr>
        <w:tc>
          <w:tcPr>
            <w:tcW w:type="dxa" w:w="2257"/>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Исполнитель / роль</w:t>
            </w:r>
          </w:p>
        </w:tc>
        <w:tc>
          <w:tcPr>
            <w:tcW w:type="dxa" w:w="1861"/>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Группа</w:t>
            </w:r>
          </w:p>
        </w:tc>
        <w:tc>
          <w:tcPr>
            <w:tcW w:type="dxa" w:w="5237"/>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Функция в групповой работе</w:t>
            </w:r>
          </w:p>
        </w:tc>
      </w:tr>
      <w:tr>
        <w:trPr>
          <w:cantSplit/>
        </w:trPr>
        <w:tc>
          <w:tcPr>
            <w:tcW w:type="dxa" w:w="225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Соловьев А. С.</w:t>
            </w:r>
          </w:p>
        </w:tc>
        <w:tc>
          <w:tcPr>
            <w:tcW w:type="dxa" w:w="18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П-41</w:t>
            </w:r>
          </w:p>
        </w:tc>
        <w:tc>
          <w:tcPr>
            <w:tcW w:type="dxa" w:w="523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Координация рабочей версии отчёта; анализ кейсов; формулирование решений и выводов.</w:t>
            </w:r>
          </w:p>
        </w:tc>
      </w:tr>
      <w:tr>
        <w:trPr>
          <w:cantSplit/>
        </w:trPr>
        <w:tc>
          <w:tcPr>
            <w:tcW w:type="dxa" w:w="225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Аналитик фактов и хронологии</w:t>
            </w:r>
          </w:p>
        </w:tc>
        <w:tc>
          <w:tcPr>
            <w:tcW w:type="dxa" w:w="18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Уточняется на семинаре</w:t>
            </w:r>
          </w:p>
        </w:tc>
        <w:tc>
          <w:tcPr>
            <w:tcW w:type="dxa" w:w="523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Проверка отделения фактов условия от предположений и скрытых допущений.</w:t>
            </w:r>
          </w:p>
        </w:tc>
      </w:tr>
      <w:tr>
        <w:trPr>
          <w:cantSplit/>
        </w:trPr>
        <w:tc>
          <w:tcPr>
            <w:tcW w:type="dxa" w:w="225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Критик альтернатив</w:t>
            </w:r>
          </w:p>
        </w:tc>
        <w:tc>
          <w:tcPr>
            <w:tcW w:type="dxa" w:w="18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Уточняется на семинаре</w:t>
            </w:r>
          </w:p>
        </w:tc>
        <w:tc>
          <w:tcPr>
            <w:tcW w:type="dxa" w:w="523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Проверка критериев, рисков, этических и правовых ограничений решений.</w:t>
            </w:r>
          </w:p>
        </w:tc>
      </w:tr>
      <w:tr>
        <w:trPr>
          <w:cantSplit/>
        </w:trPr>
        <w:tc>
          <w:tcPr>
            <w:tcW w:type="dxa" w:w="225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Докладчик / секретарь</w:t>
            </w:r>
          </w:p>
        </w:tc>
        <w:tc>
          <w:tcPr>
            <w:tcW w:type="dxa" w:w="18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Уточняется на семинаре</w:t>
            </w:r>
          </w:p>
        </w:tc>
        <w:tc>
          <w:tcPr>
            <w:tcW w:type="dxa" w:w="523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Подготовка защиты, фиксация позиции группы и плана действий.</w:t>
            </w:r>
          </w:p>
        </w:tc>
      </w:tr>
    </w:tbl>
    <w:p>
      <w:pPr>
        <w:spacing w:line="240" w:lineRule="auto" w:before="0" w:after="0"/>
      </w:pPr>
    </w:p>
    <w:p>
      <w:pPr>
        <w:spacing w:line="360" w:lineRule="auto" w:before="0" w:after="80"/>
        <w:ind w:firstLine="709"/>
        <w:jc w:val="both"/>
      </w:pPr>
      <w:r>
        <w:rPr>
          <w:rFonts w:ascii="Times New Roman" w:hAnsi="Times New Roman" w:eastAsia="Times New Roman"/>
          <w:b w:val="0"/>
          <w:i w:val="0"/>
          <w:sz w:val="28"/>
        </w:rPr>
        <w:t>В условии названы данные только одного исполнителя. При сдаче групповой версии строки «уточняется на семинаре» необходимо заменить фактическими фамилиями, инициалами и группами участников. Ролевое разделение нужно для того, чтобы мнение автора решения было проверено другими участниками, а не принято без критики.</w:t>
      </w:r>
    </w:p>
    <w:p>
      <w:pPr>
        <w:keepNext/>
        <w:spacing w:before="240" w:after="120"/>
        <w:ind w:firstLine="0"/>
        <w:jc w:val="left"/>
      </w:pPr>
      <w:r>
        <w:rPr>
          <w:rFonts w:ascii="Times New Roman" w:hAnsi="Times New Roman" w:eastAsia="Times New Roman"/>
          <w:b/>
          <w:sz w:val="28"/>
          <w:color w:val="1F4E79"/>
        </w:rPr>
        <w:t>3. Метод пошагового разбора ситуации</w:t>
      </w:r>
    </w:p>
    <w:p>
      <w:pPr>
        <w:spacing w:line="360" w:lineRule="auto" w:before="0" w:after="80"/>
        <w:ind w:firstLine="709"/>
        <w:jc w:val="both"/>
      </w:pPr>
      <w:r>
        <w:rPr>
          <w:rFonts w:ascii="Times New Roman" w:hAnsi="Times New Roman" w:eastAsia="Times New Roman"/>
          <w:b w:val="0"/>
          <w:i w:val="0"/>
          <w:sz w:val="28"/>
        </w:rPr>
        <w:t>В учебной схеме анализа кейса выделяются краткое изложение событий, проблема, характеристика действующих лиц, хронология, конфликт, варианты решения, рекомендации и план действий [1, с. 156–157]. Для всех трёх ситуаций в работе применены следующие поименованные этапы.</w:t>
      </w:r>
    </w:p>
    <w:tbl>
      <w:tblPr>
        <w:tblStyle w:val="TableGrid"/>
        <w:tblW w:type="auto" w:w="0"/>
        <w:jc w:val="center"/>
        <w:tblLayout w:type="autofit"/>
        <w:tblLook w:firstColumn="1" w:firstRow="1" w:lastColumn="0" w:lastRow="0" w:noHBand="0" w:noVBand="1" w:val="04A0"/>
        <w:tblLayout w:type="autofit"/>
      </w:tblPr>
      <w:tblGrid>
        <w:gridCol w:w="1961"/>
        <w:gridCol w:w="3926"/>
        <w:gridCol w:w="3468"/>
      </w:tblGrid>
      <w:tr>
        <w:trPr>
          <w:cantSplit/>
          <w:tblHeader w:val="true"/>
        </w:trPr>
        <w:tc>
          <w:tcPr>
            <w:tcW w:type="dxa" w:w="1961"/>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Этап</w:t>
            </w:r>
          </w:p>
        </w:tc>
        <w:tc>
          <w:tcPr>
            <w:tcW w:type="dxa" w:w="3926"/>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Содержание анализа</w:t>
            </w:r>
          </w:p>
        </w:tc>
        <w:tc>
          <w:tcPr>
            <w:tcW w:type="dxa" w:w="3468"/>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Контрольный вопрос</w:t>
            </w:r>
          </w:p>
        </w:tc>
      </w:tr>
      <w:tr>
        <w:trPr>
          <w:cantSplit/>
        </w:trPr>
        <w:tc>
          <w:tcPr>
            <w:tcW w:type="dxa" w:w="19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1. Краткое изложение фактов</w:t>
            </w:r>
          </w:p>
        </w:tc>
        <w:tc>
          <w:tcPr>
            <w:tcW w:type="dxa" w:w="392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Фиксируются только данные, прямо заданные в кейсе</w:t>
            </w:r>
          </w:p>
        </w:tc>
        <w:tc>
          <w:tcPr>
            <w:tcW w:type="dxa" w:w="346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Что известно наверняка?</w:t>
            </w:r>
          </w:p>
        </w:tc>
      </w:tr>
      <w:tr>
        <w:trPr>
          <w:cantSplit/>
        </w:trPr>
        <w:tc>
          <w:tcPr>
            <w:tcW w:type="dxa" w:w="19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2. Цель и лицо, принимающее решение</w:t>
            </w:r>
          </w:p>
        </w:tc>
        <w:tc>
          <w:tcPr>
            <w:tcW w:type="dxa" w:w="392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Устанавливаются желаемый результат, полномочия и горизонт решения</w:t>
            </w:r>
          </w:p>
        </w:tc>
        <w:tc>
          <w:tcPr>
            <w:tcW w:type="dxa" w:w="346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Кто отвечает за решение и чего он должен добиться?</w:t>
            </w:r>
          </w:p>
        </w:tc>
      </w:tr>
      <w:tr>
        <w:trPr>
          <w:cantSplit/>
        </w:trPr>
        <w:tc>
          <w:tcPr>
            <w:tcW w:type="dxa" w:w="19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3. Формулировка проблемы</w:t>
            </w:r>
          </w:p>
        </w:tc>
        <w:tc>
          <w:tcPr>
            <w:tcW w:type="dxa" w:w="392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Определяется разрыв между текущим и желаемым состоянием</w:t>
            </w:r>
          </w:p>
        </w:tc>
        <w:tc>
          <w:tcPr>
            <w:tcW w:type="dxa" w:w="346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Какую именно проблему нельзя оставить без решения?</w:t>
            </w:r>
          </w:p>
        </w:tc>
      </w:tr>
      <w:tr>
        <w:trPr>
          <w:cantSplit/>
        </w:trPr>
        <w:tc>
          <w:tcPr>
            <w:tcW w:type="dxa" w:w="19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4. Участники и интересы</w:t>
            </w:r>
          </w:p>
        </w:tc>
        <w:tc>
          <w:tcPr>
            <w:tcW w:type="dxa" w:w="392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Выявляются стороны, их цели, ресурсы и возможные оппоненты</w:t>
            </w:r>
          </w:p>
        </w:tc>
        <w:tc>
          <w:tcPr>
            <w:tcW w:type="dxa" w:w="346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Чьи интересы затрагиваются и кто может поддержать или заблокировать решение?</w:t>
            </w:r>
          </w:p>
        </w:tc>
      </w:tr>
      <w:tr>
        <w:trPr>
          <w:cantSplit/>
        </w:trPr>
        <w:tc>
          <w:tcPr>
            <w:tcW w:type="dxa" w:w="19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5. Хронология и конфликт</w:t>
            </w:r>
          </w:p>
        </w:tc>
        <w:tc>
          <w:tcPr>
            <w:tcW w:type="dxa" w:w="392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Восстанавливается последовательность событий и противоречие интересов</w:t>
            </w:r>
          </w:p>
        </w:tc>
        <w:tc>
          <w:tcPr>
            <w:tcW w:type="dxa" w:w="346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Что стало причиной обострения и что является следствием?</w:t>
            </w:r>
          </w:p>
        </w:tc>
      </w:tr>
      <w:tr>
        <w:trPr>
          <w:cantSplit/>
        </w:trPr>
        <w:tc>
          <w:tcPr>
            <w:tcW w:type="dxa" w:w="19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6. Критерии и ограничения</w:t>
            </w:r>
          </w:p>
        </w:tc>
        <w:tc>
          <w:tcPr>
            <w:tcW w:type="dxa" w:w="392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Заранее объявляются показатели выбора, ресурсы, нормы и риски</w:t>
            </w:r>
          </w:p>
        </w:tc>
        <w:tc>
          <w:tcPr>
            <w:tcW w:type="dxa" w:w="346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По каким правилам будет сопоставляться решение?</w:t>
            </w:r>
          </w:p>
        </w:tc>
      </w:tr>
      <w:tr>
        <w:trPr>
          <w:cantSplit/>
        </w:trPr>
        <w:tc>
          <w:tcPr>
            <w:tcW w:type="dxa" w:w="19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7. Альтернативы</w:t>
            </w:r>
          </w:p>
        </w:tc>
        <w:tc>
          <w:tcPr>
            <w:tcW w:type="dxa" w:w="392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Формируется несколько выполнимых способов действия, включая отказ от поспешного решения</w:t>
            </w:r>
          </w:p>
        </w:tc>
        <w:tc>
          <w:tcPr>
            <w:tcW w:type="dxa" w:w="346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Какие реально различающиеся варианты есть у руководителя?</w:t>
            </w:r>
          </w:p>
        </w:tc>
      </w:tr>
      <w:tr>
        <w:trPr>
          <w:cantSplit/>
        </w:trPr>
        <w:tc>
          <w:tcPr>
            <w:tcW w:type="dxa" w:w="19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8. Рекомендуемое решение</w:t>
            </w:r>
          </w:p>
        </w:tc>
        <w:tc>
          <w:tcPr>
            <w:tcW w:type="dxa" w:w="392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Выбирается вариант и приводится аргументация по критериям</w:t>
            </w:r>
          </w:p>
        </w:tc>
        <w:tc>
          <w:tcPr>
            <w:tcW w:type="dxa" w:w="346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Почему этот вариант лучше альтернатив в данных условиях?</w:t>
            </w:r>
          </w:p>
        </w:tc>
      </w:tr>
      <w:tr>
        <w:trPr>
          <w:cantSplit/>
        </w:trPr>
        <w:tc>
          <w:tcPr>
            <w:tcW w:type="dxa" w:w="19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9. План, контроль и обратная связь</w:t>
            </w:r>
          </w:p>
        </w:tc>
        <w:tc>
          <w:tcPr>
            <w:tcW w:type="dxa" w:w="392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Назначаются действия, сроки, ответственные, показатели и условия корректировки</w:t>
            </w:r>
          </w:p>
        </w:tc>
        <w:tc>
          <w:tcPr>
            <w:tcW w:type="dxa" w:w="346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Как убедиться, что решение работает, и что делать при отклонении?</w:t>
            </w:r>
          </w:p>
        </w:tc>
      </w:tr>
    </w:tbl>
    <w:p>
      <w:pPr>
        <w:spacing w:line="240" w:lineRule="auto" w:before="0" w:after="0"/>
      </w:pPr>
    </w:p>
    <w:p>
      <w:pPr>
        <w:keepNext/>
        <w:spacing w:before="240" w:after="120"/>
        <w:ind w:firstLine="0"/>
        <w:jc w:val="left"/>
      </w:pPr>
      <w:r>
        <w:rPr>
          <w:rFonts w:ascii="Times New Roman" w:hAnsi="Times New Roman" w:eastAsia="Times New Roman"/>
          <w:b/>
          <w:sz w:val="28"/>
          <w:color w:val="1F4E79"/>
        </w:rPr>
        <w:t>4. Ситуация 1. Конкурентная угроза Linux для Microsoft</w:t>
      </w:r>
    </w:p>
    <w:p>
      <w:pPr>
        <w:keepNext/>
        <w:spacing w:before="160" w:after="120"/>
        <w:ind w:firstLine="0"/>
        <w:jc w:val="left"/>
      </w:pPr>
      <w:r>
        <w:rPr>
          <w:rFonts w:ascii="Times New Roman" w:hAnsi="Times New Roman" w:eastAsia="Times New Roman"/>
          <w:b/>
          <w:sz w:val="26"/>
        </w:rPr>
        <w:t>4.1. Этап 1: краткое изложение фактов</w:t>
      </w:r>
    </w:p>
    <w:p>
      <w:pPr>
        <w:spacing w:line="360" w:lineRule="auto" w:before="0" w:after="80"/>
        <w:ind w:firstLine="709"/>
        <w:jc w:val="both"/>
      </w:pPr>
      <w:r>
        <w:rPr>
          <w:rFonts w:ascii="Times New Roman" w:hAnsi="Times New Roman" w:eastAsia="Times New Roman"/>
          <w:b w:val="0"/>
          <w:i w:val="0"/>
          <w:sz w:val="28"/>
        </w:rPr>
        <w:t>Пять лет назад руководство крупнейшей компании-разработчика программного обеспечения Microsoft узнало о Linux - альтернативной операционной системе с открытым исходным кодом, создаваемой энтузиастами и распространяемой бесплатно. Сначала угроза была недооценена, однако затем выяснилось, что Linux поддерживается большим числом добровольцев и программистов, в том числе сотрудников крупных корпораций. Цена Linux и нежелание клиентов быть привязанными к одному поставщику создают для Windows конкурентное давление [1, с. 184].</w:t>
      </w:r>
    </w:p>
    <w:p>
      <w:pPr>
        <w:spacing w:line="360" w:lineRule="auto" w:before="0" w:after="80"/>
        <w:ind w:firstLine="709"/>
        <w:jc w:val="both"/>
      </w:pPr>
      <w:r>
        <w:rPr>
          <w:rFonts w:ascii="Times New Roman" w:hAnsi="Times New Roman" w:eastAsia="Times New Roman"/>
          <w:b/>
          <w:i w:val="0"/>
          <w:sz w:val="28"/>
        </w:rPr>
        <w:t>Факты условия:</w:t>
      </w:r>
      <w:r>
        <w:rPr>
          <w:rFonts w:ascii="Times New Roman" w:hAnsi="Times New Roman" w:eastAsia="Times New Roman"/>
          <w:b w:val="0"/>
          <w:i w:val="0"/>
          <w:sz w:val="28"/>
        </w:rPr>
        <w:t xml:space="preserve"> Linux имеет открытый код и не является обычной коммерческой компанией; для клиентов важны цена и свобода выбора; Microsoft уже имела опыт победы над коммерческими конкурентами, но эта модель конкуренции не полностью переносима на Linux.</w:t>
      </w:r>
    </w:p>
    <w:p>
      <w:pPr>
        <w:spacing w:line="360" w:lineRule="auto" w:before="0" w:after="80"/>
        <w:ind w:firstLine="709"/>
        <w:jc w:val="both"/>
      </w:pPr>
      <w:r>
        <w:rPr>
          <w:rFonts w:ascii="Times New Roman" w:hAnsi="Times New Roman" w:eastAsia="Times New Roman"/>
          <w:b/>
          <w:i w:val="0"/>
          <w:sz w:val="28"/>
        </w:rPr>
        <w:t>Неизвестно:</w:t>
      </w:r>
      <w:r>
        <w:rPr>
          <w:rFonts w:ascii="Times New Roman" w:hAnsi="Times New Roman" w:eastAsia="Times New Roman"/>
          <w:b w:val="0"/>
          <w:i w:val="0"/>
          <w:sz w:val="28"/>
        </w:rPr>
        <w:t xml:space="preserve"> реальная доля Linux по сегментам, требования конкретных клиентов, стоимость миграции, качество поддержки, юридические риски и экономический эффект каждого возможного шага. Эти данные нельзя подменять предположением, что «бесплатное всегда победит» или что «у Microsoft достаточно ресурсов, поэтому проблема исчезнет сама».</w:t>
      </w:r>
    </w:p>
    <w:p>
      <w:pPr>
        <w:keepNext/>
        <w:spacing w:before="160" w:after="120"/>
        <w:ind w:firstLine="0"/>
        <w:jc w:val="left"/>
      </w:pPr>
      <w:r>
        <w:rPr>
          <w:rFonts w:ascii="Times New Roman" w:hAnsi="Times New Roman" w:eastAsia="Times New Roman"/>
          <w:b/>
          <w:sz w:val="26"/>
        </w:rPr>
        <w:t>4.2. Этапы 2–5: цель, проблема, участники, хронология и конфликт</w:t>
      </w:r>
    </w:p>
    <w:tbl>
      <w:tblPr>
        <w:tblStyle w:val="TableGrid"/>
        <w:tblW w:type="auto" w:w="0"/>
        <w:jc w:val="center"/>
        <w:tblLayout w:type="autofit"/>
        <w:tblLook w:firstColumn="1" w:firstRow="1" w:lastColumn="0" w:lastRow="0" w:noHBand="0" w:noVBand="1" w:val="04A0"/>
        <w:tblLayout w:type="autofit"/>
      </w:tblPr>
      <w:tblGrid>
        <w:gridCol w:w="1306"/>
        <w:gridCol w:w="8049"/>
      </w:tblGrid>
      <w:tr>
        <w:trPr>
          <w:cantSplit/>
          <w:tblHeader w:val="true"/>
        </w:trPr>
        <w:tc>
          <w:tcPr>
            <w:tcW w:type="dxa" w:w="1306"/>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Элемент</w:t>
            </w:r>
          </w:p>
        </w:tc>
        <w:tc>
          <w:tcPr>
            <w:tcW w:type="dxa" w:w="8049"/>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Анализ</w:t>
            </w:r>
          </w:p>
        </w:tc>
      </w:tr>
      <w:tr>
        <w:trPr>
          <w:cantSplit/>
        </w:trPr>
        <w:tc>
          <w:tcPr>
            <w:tcW w:type="dxa" w:w="130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Лицо, принимающее решение</w:t>
            </w:r>
          </w:p>
        </w:tc>
        <w:tc>
          <w:tcPr>
            <w:tcW w:type="dxa" w:w="804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Руководство подразделения Microsoft / руководитель, отвечающий за платформу Windows.</w:t>
            </w:r>
          </w:p>
        </w:tc>
      </w:tr>
      <w:tr>
        <w:trPr>
          <w:cantSplit/>
        </w:trPr>
        <w:tc>
          <w:tcPr>
            <w:tcW w:type="dxa" w:w="130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Цель</w:t>
            </w:r>
          </w:p>
        </w:tc>
        <w:tc>
          <w:tcPr>
            <w:tcW w:type="dxa" w:w="804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Сохранить конкурентоспособность платформы и отношения с клиентами, не разрушая прибыльную бизнес-модель краткосрочными запретами или необоснованным снижением цены.</w:t>
            </w:r>
          </w:p>
        </w:tc>
      </w:tr>
      <w:tr>
        <w:trPr>
          <w:cantSplit/>
        </w:trPr>
        <w:tc>
          <w:tcPr>
            <w:tcW w:type="dxa" w:w="130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Проблема</w:t>
            </w:r>
          </w:p>
        </w:tc>
        <w:tc>
          <w:tcPr>
            <w:tcW w:type="dxa" w:w="804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Традиционная стратегия конкуренции с отдельной фирмой не отвечает угрозе от распределённой открытой экосистемы. Риск состоит в уходе клиентов к альтернативе, снижении ценовой силы и ослаблении сетевого эффекта платформы.</w:t>
            </w:r>
          </w:p>
        </w:tc>
      </w:tr>
      <w:tr>
        <w:trPr>
          <w:cantSplit/>
        </w:trPr>
        <w:tc>
          <w:tcPr>
            <w:tcW w:type="dxa" w:w="130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Участники и интересы</w:t>
            </w:r>
          </w:p>
        </w:tc>
        <w:tc>
          <w:tcPr>
            <w:tcW w:type="dxa" w:w="804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Клиенты хотят функциональность, надёжность, стоимость владения и свободу выбора; разработчики Linux заинтересованы в открытости; партнёры Microsoft - в совместимости и доходе от экосистемы; акционеры - в устойчивой прибыльности.</w:t>
            </w:r>
          </w:p>
        </w:tc>
      </w:tr>
      <w:tr>
        <w:trPr>
          <w:cantSplit/>
        </w:trPr>
        <w:tc>
          <w:tcPr>
            <w:tcW w:type="dxa" w:w="130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Хронология</w:t>
            </w:r>
          </w:p>
        </w:tc>
        <w:tc>
          <w:tcPr>
            <w:tcW w:type="dxa" w:w="804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Сначала Linux был малоизвестен для руководства; затем он стал заметен как рыночная альтернатива; далее возникает необходимость стратегического ответа.</w:t>
            </w:r>
          </w:p>
        </w:tc>
      </w:tr>
      <w:tr>
        <w:trPr>
          <w:cantSplit/>
        </w:trPr>
        <w:tc>
          <w:tcPr>
            <w:tcW w:type="dxa" w:w="130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Конфликт</w:t>
            </w:r>
          </w:p>
        </w:tc>
        <w:tc>
          <w:tcPr>
            <w:tcW w:type="dxa" w:w="804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Закрытая коммерческая модель и контроль платформы сталкиваются с открытой моделью разработки и запросом рынка на снижение зависимости от единственного поставщика. Это конкурентный, а не личный конфликт.</w:t>
            </w:r>
          </w:p>
        </w:tc>
      </w:tr>
    </w:tbl>
    <w:p>
      <w:pPr>
        <w:spacing w:line="240" w:lineRule="auto" w:before="0" w:after="0"/>
      </w:pPr>
    </w:p>
    <w:p>
      <w:pPr>
        <w:keepNext/>
        <w:spacing w:before="160" w:after="120"/>
        <w:ind w:firstLine="0"/>
        <w:jc w:val="left"/>
      </w:pPr>
      <w:r>
        <w:rPr>
          <w:rFonts w:ascii="Times New Roman" w:hAnsi="Times New Roman" w:eastAsia="Times New Roman"/>
          <w:b/>
          <w:sz w:val="26"/>
        </w:rPr>
        <w:t>4.3. Этап 6: критерии и ограничения</w:t>
      </w:r>
    </w:p>
    <w:tbl>
      <w:tblPr>
        <w:tblStyle w:val="TableGrid"/>
        <w:tblW w:type="auto" w:w="0"/>
        <w:jc w:val="center"/>
        <w:tblLayout w:type="autofit"/>
        <w:tblLook w:firstColumn="1" w:firstRow="1" w:lastColumn="0" w:lastRow="0" w:noHBand="0" w:noVBand="1" w:val="04A0"/>
        <w:tblLayout w:type="autofit"/>
      </w:tblPr>
      <w:tblGrid>
        <w:gridCol w:w="1591"/>
        <w:gridCol w:w="3800"/>
        <w:gridCol w:w="3964"/>
      </w:tblGrid>
      <w:tr>
        <w:trPr>
          <w:cantSplit/>
          <w:tblHeader w:val="true"/>
        </w:trPr>
        <w:tc>
          <w:tcPr>
            <w:tcW w:type="dxa" w:w="1591"/>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Критерий</w:t>
            </w:r>
          </w:p>
        </w:tc>
        <w:tc>
          <w:tcPr>
            <w:tcW w:type="dxa" w:w="3800"/>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Почему важен</w:t>
            </w:r>
          </w:p>
        </w:tc>
        <w:tc>
          <w:tcPr>
            <w:tcW w:type="dxa" w:w="3964"/>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Признак приемлемого решения</w:t>
            </w:r>
          </w:p>
        </w:tc>
      </w:tr>
      <w:tr>
        <w:trPr>
          <w:cantSplit/>
        </w:trPr>
        <w:tc>
          <w:tcPr>
            <w:tcW w:type="dxa" w:w="159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Ценность для клиента</w:t>
            </w:r>
          </w:p>
        </w:tc>
        <w:tc>
          <w:tcPr>
            <w:tcW w:type="dxa" w:w="380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Клиент выбирает не только цену, но и надёжность, безопасность, совместимость и поддержку</w:t>
            </w:r>
          </w:p>
        </w:tc>
        <w:tc>
          <w:tcPr>
            <w:tcW w:type="dxa" w:w="396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Снижается полная стоимость владения и остаётся понятное преимущество Windows</w:t>
            </w:r>
          </w:p>
        </w:tc>
      </w:tr>
      <w:tr>
        <w:trPr>
          <w:cantSplit/>
        </w:trPr>
        <w:tc>
          <w:tcPr>
            <w:tcW w:type="dxa" w:w="159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Скорость реакции</w:t>
            </w:r>
          </w:p>
        </w:tc>
        <w:tc>
          <w:tcPr>
            <w:tcW w:type="dxa" w:w="380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Угроза развивается быстрее традиционного многолетнего цикла</w:t>
            </w:r>
          </w:p>
        </w:tc>
        <w:tc>
          <w:tcPr>
            <w:tcW w:type="dxa" w:w="396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Первые изменения и пилоты запускаются без ожидания полной перестройки компании</w:t>
            </w:r>
          </w:p>
        </w:tc>
      </w:tr>
      <w:tr>
        <w:trPr>
          <w:cantSplit/>
        </w:trPr>
        <w:tc>
          <w:tcPr>
            <w:tcW w:type="dxa" w:w="159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Сохранение экосистемы</w:t>
            </w:r>
          </w:p>
        </w:tc>
        <w:tc>
          <w:tcPr>
            <w:tcW w:type="dxa" w:w="380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Партнёры и разработчики усиливают или ослабляют платформу</w:t>
            </w:r>
          </w:p>
        </w:tc>
        <w:tc>
          <w:tcPr>
            <w:tcW w:type="dxa" w:w="396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Решение не разрывает совместимость и отношения с разработчиками/партнёрами</w:t>
            </w:r>
          </w:p>
        </w:tc>
      </w:tr>
      <w:tr>
        <w:trPr>
          <w:cantSplit/>
        </w:trPr>
        <w:tc>
          <w:tcPr>
            <w:tcW w:type="dxa" w:w="159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Экономическая устойчивость</w:t>
            </w:r>
          </w:p>
        </w:tc>
        <w:tc>
          <w:tcPr>
            <w:tcW w:type="dxa" w:w="380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Демпинг или закрытие рынка могут нанести ущерб бизнесу и репутации</w:t>
            </w:r>
          </w:p>
        </w:tc>
        <w:tc>
          <w:tcPr>
            <w:tcW w:type="dxa" w:w="396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Затраты и снижение цены имеют измеримый предел и проверяемый эффект</w:t>
            </w:r>
          </w:p>
        </w:tc>
      </w:tr>
      <w:tr>
        <w:trPr>
          <w:cantSplit/>
        </w:trPr>
        <w:tc>
          <w:tcPr>
            <w:tcW w:type="dxa" w:w="159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Правомерность и репутация</w:t>
            </w:r>
          </w:p>
        </w:tc>
        <w:tc>
          <w:tcPr>
            <w:tcW w:type="dxa" w:w="380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Давление на клиента или искусственное ограничение выбора создают долгосрочный риск</w:t>
            </w:r>
          </w:p>
        </w:tc>
        <w:tc>
          <w:tcPr>
            <w:tcW w:type="dxa" w:w="396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Конкуренция строится на продукте, сервисе и прозрачных условиях</w:t>
            </w:r>
          </w:p>
        </w:tc>
      </w:tr>
      <w:tr>
        <w:trPr>
          <w:cantSplit/>
        </w:trPr>
        <w:tc>
          <w:tcPr>
            <w:tcW w:type="dxa" w:w="159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Адаптивность</w:t>
            </w:r>
          </w:p>
        </w:tc>
        <w:tc>
          <w:tcPr>
            <w:tcW w:type="dxa" w:w="380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Рынок и технология будут меняться</w:t>
            </w:r>
          </w:p>
        </w:tc>
        <w:tc>
          <w:tcPr>
            <w:tcW w:type="dxa" w:w="396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Есть регулярный мониторинг сегментов и возможность корректировать меры</w:t>
            </w:r>
          </w:p>
        </w:tc>
      </w:tr>
    </w:tbl>
    <w:p>
      <w:pPr>
        <w:spacing w:line="240" w:lineRule="auto" w:before="0" w:after="0"/>
      </w:pPr>
    </w:p>
    <w:p>
      <w:pPr>
        <w:spacing w:line="360" w:lineRule="auto" w:before="0" w:after="80"/>
        <w:ind w:firstLine="709"/>
        <w:jc w:val="both"/>
      </w:pPr>
      <w:r>
        <w:rPr>
          <w:rFonts w:ascii="Times New Roman" w:hAnsi="Times New Roman" w:eastAsia="Times New Roman"/>
          <w:b/>
          <w:i w:val="0"/>
          <w:sz w:val="28"/>
        </w:rPr>
        <w:t>Ограничения:</w:t>
      </w:r>
      <w:r>
        <w:rPr>
          <w:rFonts w:ascii="Times New Roman" w:hAnsi="Times New Roman" w:eastAsia="Times New Roman"/>
          <w:b w:val="0"/>
          <w:i w:val="0"/>
          <w:sz w:val="28"/>
        </w:rPr>
        <w:t xml:space="preserve"> нельзя гарантировать исчезновение Linux; нельзя исходить из полной информации о будущем; нельзя считать клиентов пассивными; для корпоративного сегмента миграция зависит от приложений, навыков, поддержки и совместимости, а не только от цены лицензии.</w:t>
      </w:r>
    </w:p>
    <w:p>
      <w:pPr>
        <w:keepNext/>
        <w:spacing w:before="160" w:after="120"/>
        <w:ind w:firstLine="0"/>
        <w:jc w:val="left"/>
      </w:pPr>
      <w:r>
        <w:rPr>
          <w:rFonts w:ascii="Times New Roman" w:hAnsi="Times New Roman" w:eastAsia="Times New Roman"/>
          <w:b/>
          <w:sz w:val="26"/>
        </w:rPr>
        <w:t>4.4. Этап 7: альтернативы</w:t>
      </w:r>
    </w:p>
    <w:tbl>
      <w:tblPr>
        <w:tblStyle w:val="TableGrid"/>
        <w:tblW w:type="auto" w:w="0"/>
        <w:jc w:val="center"/>
        <w:tblLayout w:type="autofit"/>
        <w:tblLook w:firstColumn="1" w:firstRow="1" w:lastColumn="0" w:lastRow="0" w:noHBand="0" w:noVBand="1" w:val="04A0"/>
        <w:tblLayout w:type="autofit"/>
      </w:tblPr>
      <w:tblGrid>
        <w:gridCol w:w="2559"/>
        <w:gridCol w:w="2901"/>
        <w:gridCol w:w="3895"/>
      </w:tblGrid>
      <w:tr>
        <w:trPr>
          <w:cantSplit/>
          <w:tblHeader w:val="true"/>
        </w:trPr>
        <w:tc>
          <w:tcPr>
            <w:tcW w:type="dxa" w:w="2559"/>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Альтернатива</w:t>
            </w:r>
          </w:p>
        </w:tc>
        <w:tc>
          <w:tcPr>
            <w:tcW w:type="dxa" w:w="2901"/>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Потенциальный эффект</w:t>
            </w:r>
          </w:p>
        </w:tc>
        <w:tc>
          <w:tcPr>
            <w:tcW w:type="dxa" w:w="3895"/>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Главный риск</w:t>
            </w:r>
          </w:p>
        </w:tc>
      </w:tr>
      <w:tr>
        <w:trPr>
          <w:cantSplit/>
        </w:trPr>
        <w:tc>
          <w:tcPr>
            <w:tcW w:type="dxa" w:w="255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А. Игнорировать Linux и сохранять прежнюю продуктовую и ценовую политику</w:t>
            </w:r>
          </w:p>
        </w:tc>
        <w:tc>
          <w:tcPr>
            <w:tcW w:type="dxa" w:w="290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Нет немедленных затрат на изменение курса</w:t>
            </w:r>
          </w:p>
        </w:tc>
        <w:tc>
          <w:tcPr>
            <w:tcW w:type="dxa" w:w="3895"/>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Утрата чувствительности к рынку, рост зависимости клиентов от альтернативы, запоздалая реакция</w:t>
            </w:r>
          </w:p>
        </w:tc>
      </w:tr>
      <w:tr>
        <w:trPr>
          <w:cantSplit/>
        </w:trPr>
        <w:tc>
          <w:tcPr>
            <w:tcW w:type="dxa" w:w="255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Б. Вести только ценовую войну</w:t>
            </w:r>
          </w:p>
        </w:tc>
        <w:tc>
          <w:tcPr>
            <w:tcW w:type="dxa" w:w="290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Может временно замедлить переход части пользователей</w:t>
            </w:r>
          </w:p>
        </w:tc>
        <w:tc>
          <w:tcPr>
            <w:tcW w:type="dxa" w:w="3895"/>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Снижение маржи не решает проблему совместимости, доверия и выбора; конкурент с бесплатной лицензией трудно побеждается только ценой</w:t>
            </w:r>
          </w:p>
        </w:tc>
      </w:tr>
      <w:tr>
        <w:trPr>
          <w:cantSplit/>
        </w:trPr>
        <w:tc>
          <w:tcPr>
            <w:tcW w:type="dxa" w:w="255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 Закрывать рынок административными или техническими барьерами</w:t>
            </w:r>
          </w:p>
        </w:tc>
        <w:tc>
          <w:tcPr>
            <w:tcW w:type="dxa" w:w="290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Краткосрочно затрудняет смену поставщика</w:t>
            </w:r>
          </w:p>
        </w:tc>
        <w:tc>
          <w:tcPr>
            <w:tcW w:type="dxa" w:w="3895"/>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Репутационные и правовые риски, рост недоверия клиентов и партнёров, усиление мотивации перейти на альтернативу</w:t>
            </w:r>
          </w:p>
        </w:tc>
      </w:tr>
      <w:tr>
        <w:trPr>
          <w:cantSplit/>
        </w:trPr>
        <w:tc>
          <w:tcPr>
            <w:tcW w:type="dxa" w:w="255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Г. Развивать продуктовую ценность, совместимость и сервис; сегментировать ответ</w:t>
            </w:r>
          </w:p>
        </w:tc>
        <w:tc>
          <w:tcPr>
            <w:tcW w:type="dxa" w:w="290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Повышает способность клиентов выбирать Windows по полезности, а не по инерции; позволяет учитывать разные сегменты</w:t>
            </w:r>
          </w:p>
        </w:tc>
        <w:tc>
          <w:tcPr>
            <w:tcW w:type="dxa" w:w="3895"/>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Требует инвестиций, изменения процессов и признания того, что часть рынка может использовать смешанные решения</w:t>
            </w:r>
          </w:p>
        </w:tc>
      </w:tr>
    </w:tbl>
    <w:p>
      <w:pPr>
        <w:spacing w:line="240" w:lineRule="auto" w:before="0" w:after="0"/>
      </w:pPr>
    </w:p>
    <w:p>
      <w:pPr>
        <w:keepNext/>
        <w:spacing w:before="160" w:after="120"/>
        <w:ind w:firstLine="0"/>
        <w:jc w:val="left"/>
      </w:pPr>
      <w:r>
        <w:rPr>
          <w:rFonts w:ascii="Times New Roman" w:hAnsi="Times New Roman" w:eastAsia="Times New Roman"/>
          <w:b/>
          <w:sz w:val="26"/>
        </w:rPr>
        <w:t>4.5. Этап 8: рекомендуемое решение и аргументация</w:t>
      </w:r>
    </w:p>
    <w:p>
      <w:pPr>
        <w:spacing w:line="360" w:lineRule="auto" w:before="0" w:after="80"/>
        <w:ind w:firstLine="709"/>
        <w:jc w:val="both"/>
      </w:pPr>
      <w:r>
        <w:rPr>
          <w:rFonts w:ascii="Times New Roman" w:hAnsi="Times New Roman" w:eastAsia="Times New Roman"/>
          <w:b/>
          <w:i w:val="0"/>
          <w:sz w:val="28"/>
        </w:rPr>
        <w:t>Рекомендуемая стратегия - альтернатива Г: конкурировать не запретом и не одной ценой, а ценностью продукта, предсказуемой поддержкой, безопасностью, совместимостью и партнёрской экосистемой.</w:t>
      </w:r>
    </w:p>
    <w:p>
      <w:pPr>
        <w:spacing w:line="360" w:lineRule="auto" w:before="0" w:after="80"/>
        <w:ind w:firstLine="709"/>
        <w:jc w:val="both"/>
      </w:pPr>
      <w:r>
        <w:rPr>
          <w:rFonts w:ascii="Times New Roman" w:hAnsi="Times New Roman" w:eastAsia="Times New Roman"/>
          <w:b w:val="0"/>
          <w:i w:val="0"/>
          <w:sz w:val="28"/>
        </w:rPr>
        <w:t>Аргументы:</w:t>
      </w:r>
    </w:p>
    <w:p>
      <w:pPr>
        <w:spacing w:line="360" w:lineRule="auto" w:before="0" w:after="80"/>
        <w:ind w:left="709" w:hanging="369"/>
        <w:jc w:val="both"/>
      </w:pPr>
      <w:r>
        <w:rPr>
          <w:rFonts w:ascii="Times New Roman" w:hAnsi="Times New Roman" w:eastAsia="Times New Roman"/>
          <w:b w:val="0"/>
          <w:i w:val="0"/>
          <w:sz w:val="28"/>
        </w:rPr>
        <w:t>1. Linux - не единый коммерческий конкурент, которого можно «выкупить» или вытеснить обычной ценовой атакой. Следовательно, ответ должен быть системным.</w:t>
      </w:r>
    </w:p>
    <w:p>
      <w:pPr>
        <w:spacing w:line="360" w:lineRule="auto" w:before="0" w:after="80"/>
        <w:ind w:left="709" w:hanging="369"/>
        <w:jc w:val="both"/>
      </w:pPr>
      <w:r>
        <w:rPr>
          <w:rFonts w:ascii="Times New Roman" w:hAnsi="Times New Roman" w:eastAsia="Times New Roman"/>
          <w:b w:val="0"/>
          <w:i w:val="0"/>
          <w:sz w:val="28"/>
        </w:rPr>
        <w:t>2. Для корпоративного клиента важна совокупная стоимость владения: обучение, приложения, администрирование, безопасность, интеграция и поддержка. Microsoft может развивать эти преимущества и прозрачно измерять их.</w:t>
      </w:r>
    </w:p>
    <w:p>
      <w:pPr>
        <w:spacing w:line="360" w:lineRule="auto" w:before="0" w:after="80"/>
        <w:ind w:left="709" w:hanging="369"/>
        <w:jc w:val="both"/>
      </w:pPr>
      <w:r>
        <w:rPr>
          <w:rFonts w:ascii="Times New Roman" w:hAnsi="Times New Roman" w:eastAsia="Times New Roman"/>
          <w:b w:val="0"/>
          <w:i w:val="0"/>
          <w:sz w:val="28"/>
        </w:rPr>
        <w:t>3. Совместимость и открытые интерфейсы уменьшают страх клиента перед привязкой к поставщику. Парадоксально, но возможность работать в смешанной среде может сохранить клиента лучше, чем попытка закрыть ему выбор.</w:t>
      </w:r>
    </w:p>
    <w:p>
      <w:pPr>
        <w:spacing w:line="360" w:lineRule="auto" w:before="0" w:after="80"/>
        <w:ind w:left="709" w:hanging="369"/>
        <w:jc w:val="both"/>
      </w:pPr>
      <w:r>
        <w:rPr>
          <w:rFonts w:ascii="Times New Roman" w:hAnsi="Times New Roman" w:eastAsia="Times New Roman"/>
          <w:b w:val="0"/>
          <w:i w:val="0"/>
          <w:sz w:val="28"/>
        </w:rPr>
        <w:t>4. Сегментирование разумнее единого ответа: для домашних пользователей важны простота и цена, для организаций - управление, поддержка, безопасность и жизненный цикл приложений.</w:t>
      </w:r>
    </w:p>
    <w:p>
      <w:pPr>
        <w:spacing w:line="360" w:lineRule="auto" w:before="0" w:after="80"/>
        <w:ind w:left="709" w:hanging="369"/>
        <w:jc w:val="both"/>
      </w:pPr>
      <w:r>
        <w:rPr>
          <w:rFonts w:ascii="Times New Roman" w:hAnsi="Times New Roman" w:eastAsia="Times New Roman"/>
          <w:b w:val="0"/>
          <w:i w:val="0"/>
          <w:sz w:val="28"/>
        </w:rPr>
        <w:t>5. Решение соответствует критериям клиентской ценности, устойчивости и адаптивности и не опирается на сомнительное давление на рынок.</w:t>
      </w:r>
    </w:p>
    <w:p>
      <w:pPr>
        <w:keepNext/>
        <w:spacing w:before="160" w:after="120"/>
        <w:ind w:firstLine="0"/>
        <w:jc w:val="left"/>
      </w:pPr>
      <w:r>
        <w:rPr>
          <w:rFonts w:ascii="Times New Roman" w:hAnsi="Times New Roman" w:eastAsia="Times New Roman"/>
          <w:b/>
          <w:sz w:val="26"/>
        </w:rPr>
        <w:t>4.6. Этап 9: план реализации и контроль</w:t>
      </w:r>
    </w:p>
    <w:tbl>
      <w:tblPr>
        <w:tblStyle w:val="TableGrid"/>
        <w:tblW w:type="auto" w:w="0"/>
        <w:jc w:val="center"/>
        <w:tblLayout w:type="autofit"/>
        <w:tblLook w:firstColumn="1" w:firstRow="1" w:lastColumn="0" w:lastRow="0" w:noHBand="0" w:noVBand="1" w:val="04A0"/>
        <w:tblLayout w:type="autofit"/>
      </w:tblPr>
      <w:tblGrid>
        <w:gridCol w:w="1018"/>
        <w:gridCol w:w="4634"/>
        <w:gridCol w:w="3703"/>
      </w:tblGrid>
      <w:tr>
        <w:trPr>
          <w:cantSplit/>
          <w:tblHeader w:val="true"/>
        </w:trPr>
        <w:tc>
          <w:tcPr>
            <w:tcW w:type="dxa" w:w="1018"/>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Период</w:t>
            </w:r>
          </w:p>
        </w:tc>
        <w:tc>
          <w:tcPr>
            <w:tcW w:type="dxa" w:w="4634"/>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Действия</w:t>
            </w:r>
          </w:p>
        </w:tc>
        <w:tc>
          <w:tcPr>
            <w:tcW w:type="dxa" w:w="3703"/>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Контрольный показатель</w:t>
            </w:r>
          </w:p>
        </w:tc>
      </w:tr>
      <w:tr>
        <w:trPr>
          <w:cantSplit/>
        </w:trPr>
        <w:tc>
          <w:tcPr>
            <w:tcW w:type="dxa" w:w="101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0–3 месяца</w:t>
            </w:r>
          </w:p>
        </w:tc>
        <w:tc>
          <w:tcPr>
            <w:tcW w:type="dxa" w:w="463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Собрать данные о причинах выбора Linux по сегментам; провести интервью с ключевыми клиентами и партнёрами; определить критические сценарии миграции</w:t>
            </w:r>
          </w:p>
        </w:tc>
        <w:tc>
          <w:tcPr>
            <w:tcW w:type="dxa" w:w="3703"/>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Карта сегментов и причин перехода; список приложений и точек несовместимости</w:t>
            </w:r>
          </w:p>
        </w:tc>
      </w:tr>
      <w:tr>
        <w:trPr>
          <w:cantSplit/>
        </w:trPr>
        <w:tc>
          <w:tcPr>
            <w:tcW w:type="dxa" w:w="101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3–6 месяцев</w:t>
            </w:r>
          </w:p>
        </w:tc>
        <w:tc>
          <w:tcPr>
            <w:tcW w:type="dxa" w:w="463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Подготовить дорожные карты совместимости, поддержки и безопасности; запустить пилоты в наиболее уязвимых сегментах</w:t>
            </w:r>
          </w:p>
        </w:tc>
        <w:tc>
          <w:tcPr>
            <w:tcW w:type="dxa" w:w="3703"/>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Доля успешных пилотов, удовлетворённость клиентов, число критических проблем совместимости</w:t>
            </w:r>
          </w:p>
        </w:tc>
      </w:tr>
      <w:tr>
        <w:trPr>
          <w:cantSplit/>
        </w:trPr>
        <w:tc>
          <w:tcPr>
            <w:tcW w:type="dxa" w:w="101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6–12 месяцев</w:t>
            </w:r>
          </w:p>
        </w:tc>
        <w:tc>
          <w:tcPr>
            <w:tcW w:type="dxa" w:w="463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Развивать инструменты миграции, управление смешанной инфраструктурой, обучение и партнёрские программы</w:t>
            </w:r>
          </w:p>
        </w:tc>
        <w:tc>
          <w:tcPr>
            <w:tcW w:type="dxa" w:w="3703"/>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Удержание клиентов, стоимость поддержки, внедрение обновлений, доля партнёров в программах</w:t>
            </w:r>
          </w:p>
        </w:tc>
      </w:tr>
      <w:tr>
        <w:trPr>
          <w:cantSplit/>
        </w:trPr>
        <w:tc>
          <w:tcPr>
            <w:tcW w:type="dxa" w:w="101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Далее ежеквартально</w:t>
            </w:r>
          </w:p>
        </w:tc>
        <w:tc>
          <w:tcPr>
            <w:tcW w:type="dxa" w:w="463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Пересматривать сценарии конкуренции и продуктовые приоритеты</w:t>
            </w:r>
          </w:p>
        </w:tc>
        <w:tc>
          <w:tcPr>
            <w:tcW w:type="dxa" w:w="3703"/>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Изменение доли сегмента, причины ухода клиентов, экономический эффект мер</w:t>
            </w:r>
          </w:p>
        </w:tc>
      </w:tr>
    </w:tbl>
    <w:p>
      <w:pPr>
        <w:spacing w:line="240" w:lineRule="auto" w:before="0" w:after="0"/>
      </w:pPr>
    </w:p>
    <w:p>
      <w:pPr>
        <w:spacing w:line="360" w:lineRule="auto" w:before="0" w:after="80"/>
        <w:ind w:firstLine="709"/>
        <w:jc w:val="both"/>
      </w:pPr>
      <w:r>
        <w:rPr>
          <w:rFonts w:ascii="Times New Roman" w:hAnsi="Times New Roman" w:eastAsia="Times New Roman"/>
          <w:b/>
          <w:i w:val="0"/>
          <w:sz w:val="28"/>
        </w:rPr>
        <w:t>Комментарий:</w:t>
      </w:r>
      <w:r>
        <w:rPr>
          <w:rFonts w:ascii="Times New Roman" w:hAnsi="Times New Roman" w:eastAsia="Times New Roman"/>
          <w:b w:val="0"/>
          <w:i w:val="0"/>
          <w:sz w:val="28"/>
        </w:rPr>
        <w:t xml:space="preserve"> кейс относится к исторической ситуации. Рекомендация не оценивает фактические последующие решения конкретной компании; она показывает, какое управленческое решение следует из исходных фактов и критериев кейса.</w:t>
      </w:r>
    </w:p>
    <w:p>
      <w:pPr>
        <w:keepNext/>
        <w:spacing w:before="240" w:after="120"/>
        <w:ind w:firstLine="0"/>
        <w:jc w:val="left"/>
      </w:pPr>
      <w:r>
        <w:rPr>
          <w:rFonts w:ascii="Times New Roman" w:hAnsi="Times New Roman" w:eastAsia="Times New Roman"/>
          <w:b/>
          <w:sz w:val="28"/>
          <w:color w:val="1F4E79"/>
        </w:rPr>
        <w:t>5. Ситуация 2. Перегруженный механик и конфликт вокруг помощника</w:t>
      </w:r>
    </w:p>
    <w:p>
      <w:pPr>
        <w:keepNext/>
        <w:spacing w:before="160" w:after="120"/>
        <w:ind w:firstLine="0"/>
        <w:jc w:val="left"/>
      </w:pPr>
      <w:r>
        <w:rPr>
          <w:rFonts w:ascii="Times New Roman" w:hAnsi="Times New Roman" w:eastAsia="Times New Roman"/>
          <w:b/>
          <w:sz w:val="26"/>
        </w:rPr>
        <w:t>5.1. Этап 1: краткое изложение фактов</w:t>
      </w:r>
    </w:p>
    <w:p>
      <w:pPr>
        <w:spacing w:line="360" w:lineRule="auto" w:before="0" w:after="80"/>
        <w:ind w:firstLine="709"/>
        <w:jc w:val="both"/>
      </w:pPr>
      <w:r>
        <w:rPr>
          <w:rFonts w:ascii="Times New Roman" w:hAnsi="Times New Roman" w:eastAsia="Times New Roman"/>
          <w:b w:val="0"/>
          <w:i w:val="0"/>
          <w:sz w:val="28"/>
        </w:rPr>
        <w:t>В обязанности механика входит обеспечение круглосуточной бесперебойной работы печатных и других машин. Он регулярно заявляет, что рабочий день слишком длинный, нагрузка чрезмерна, окружающие им «помыкают», и ему нужен помощник. Руководитель помощника не дал, но сумел добиться того, что механик остался доволен [1, с. 184–185].</w:t>
      </w:r>
    </w:p>
    <w:p>
      <w:pPr>
        <w:spacing w:line="360" w:lineRule="auto" w:before="0" w:after="80"/>
        <w:ind w:firstLine="709"/>
        <w:jc w:val="both"/>
      </w:pPr>
      <w:r>
        <w:rPr>
          <w:rFonts w:ascii="Times New Roman" w:hAnsi="Times New Roman" w:eastAsia="Times New Roman"/>
          <w:b w:val="0"/>
          <w:i w:val="0"/>
          <w:sz w:val="28"/>
        </w:rPr>
        <w:t xml:space="preserve">Условие не раскрывает, </w:t>
      </w:r>
      <w:r>
        <w:rPr>
          <w:rFonts w:ascii="Times New Roman" w:hAnsi="Times New Roman" w:eastAsia="Times New Roman"/>
          <w:b/>
          <w:i w:val="0"/>
          <w:sz w:val="28"/>
        </w:rPr>
        <w:t>каким именно способом</w:t>
      </w:r>
      <w:r>
        <w:rPr>
          <w:rFonts w:ascii="Times New Roman" w:hAnsi="Times New Roman" w:eastAsia="Times New Roman"/>
          <w:b w:val="0"/>
          <w:i w:val="0"/>
          <w:sz w:val="28"/>
        </w:rPr>
        <w:t xml:space="preserve"> руководитель достиг результата. Поэтому нельзя выдавать догадку за факт. Ниже обоснована рекомендуемая последовательность действий и один правдоподобный механизм решения: устранить источники перегрузки и бесправия в работе, а не просто спорить о штатной единице.</w:t>
      </w:r>
    </w:p>
    <w:p>
      <w:pPr>
        <w:keepNext/>
        <w:spacing w:before="160" w:after="120"/>
        <w:ind w:firstLine="0"/>
        <w:jc w:val="left"/>
      </w:pPr>
      <w:r>
        <w:rPr>
          <w:rFonts w:ascii="Times New Roman" w:hAnsi="Times New Roman" w:eastAsia="Times New Roman"/>
          <w:b/>
          <w:sz w:val="26"/>
        </w:rPr>
        <w:t>5.2. Этапы 2–5: цель, проблема, участники, хронология и конфликт</w:t>
      </w:r>
    </w:p>
    <w:tbl>
      <w:tblPr>
        <w:tblStyle w:val="TableGrid"/>
        <w:tblW w:type="auto" w:w="0"/>
        <w:jc w:val="center"/>
        <w:tblLayout w:type="autofit"/>
        <w:tblLook w:firstColumn="1" w:firstRow="1" w:lastColumn="0" w:lastRow="0" w:noHBand="0" w:noVBand="1" w:val="04A0"/>
        <w:tblLayout w:type="autofit"/>
      </w:tblPr>
      <w:tblGrid>
        <w:gridCol w:w="1237"/>
        <w:gridCol w:w="8118"/>
      </w:tblGrid>
      <w:tr>
        <w:trPr>
          <w:cantSplit/>
          <w:tblHeader w:val="true"/>
        </w:trPr>
        <w:tc>
          <w:tcPr>
            <w:tcW w:type="dxa" w:w="1237"/>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Элемент</w:t>
            </w:r>
          </w:p>
        </w:tc>
        <w:tc>
          <w:tcPr>
            <w:tcW w:type="dxa" w:w="8118"/>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Анализ</w:t>
            </w:r>
          </w:p>
        </w:tc>
      </w:tr>
      <w:tr>
        <w:trPr>
          <w:cantSplit/>
        </w:trPr>
        <w:tc>
          <w:tcPr>
            <w:tcW w:type="dxa" w:w="123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Лицо, принимающее решение</w:t>
            </w:r>
          </w:p>
        </w:tc>
        <w:tc>
          <w:tcPr>
            <w:tcW w:type="dxa" w:w="811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Руководитель подразделения, отвечающий за непрерывность работы оборудования, безопасность и использование фонда оплаты труда.</w:t>
            </w:r>
          </w:p>
        </w:tc>
      </w:tr>
      <w:tr>
        <w:trPr>
          <w:cantSplit/>
        </w:trPr>
        <w:tc>
          <w:tcPr>
            <w:tcW w:type="dxa" w:w="123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Цель</w:t>
            </w:r>
          </w:p>
        </w:tc>
        <w:tc>
          <w:tcPr>
            <w:tcW w:type="dxa" w:w="811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Сохранить бесперебойную и безопасную работу оборудования, снизить конфликт и восстановить конструктивную мотивацию механика без необоснованного расширения штата.</w:t>
            </w:r>
          </w:p>
        </w:tc>
      </w:tr>
      <w:tr>
        <w:trPr>
          <w:cantSplit/>
        </w:trPr>
        <w:tc>
          <w:tcPr>
            <w:tcW w:type="dxa" w:w="123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Проблема</w:t>
            </w:r>
          </w:p>
        </w:tc>
        <w:tc>
          <w:tcPr>
            <w:tcW w:type="dxa" w:w="811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Неясно, является ли просьба о помощнике следствием реальной перегрузки, плохой организации работ, дефицита полномочий, конфликтов с коллегами или сочетания причин. Отказ без диагностики создаёт риск аварии, выгорания и увольнения.</w:t>
            </w:r>
          </w:p>
        </w:tc>
      </w:tr>
      <w:tr>
        <w:trPr>
          <w:cantSplit/>
        </w:trPr>
        <w:tc>
          <w:tcPr>
            <w:tcW w:type="dxa" w:w="123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Участники</w:t>
            </w:r>
          </w:p>
        </w:tc>
        <w:tc>
          <w:tcPr>
            <w:tcW w:type="dxa" w:w="811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Механик; его руководитель; операторы и сотрудники, обращающиеся с заявками; служба охраны труда; планово-диспетчерская и кадровая функции.</w:t>
            </w:r>
          </w:p>
        </w:tc>
      </w:tr>
      <w:tr>
        <w:trPr>
          <w:cantSplit/>
        </w:trPr>
        <w:tc>
          <w:tcPr>
            <w:tcW w:type="dxa" w:w="123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Хронология</w:t>
            </w:r>
          </w:p>
        </w:tc>
        <w:tc>
          <w:tcPr>
            <w:tcW w:type="dxa" w:w="811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Сначала формируется длительная нагрузка и чувство, что механиком распоряжаются разные люди; затем повторяются жалобы; руководитель отказывает в помощнике; требуется иное решение причины конфликта.</w:t>
            </w:r>
          </w:p>
        </w:tc>
      </w:tr>
      <w:tr>
        <w:trPr>
          <w:cantSplit/>
        </w:trPr>
        <w:tc>
          <w:tcPr>
            <w:tcW w:type="dxa" w:w="123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Конфликт</w:t>
            </w:r>
          </w:p>
        </w:tc>
        <w:tc>
          <w:tcPr>
            <w:tcW w:type="dxa" w:w="811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Производственная потребность в круглосуточной доступности сталкивается с ограничением человеческого ресурса и потребностью работника в ясных границах, признании и справедливом распределении задач.</w:t>
            </w:r>
          </w:p>
        </w:tc>
      </w:tr>
    </w:tbl>
    <w:p>
      <w:pPr>
        <w:spacing w:line="240" w:lineRule="auto" w:before="0" w:after="0"/>
      </w:pPr>
    </w:p>
    <w:p>
      <w:pPr>
        <w:keepNext/>
        <w:spacing w:before="160" w:after="120"/>
        <w:ind w:firstLine="0"/>
        <w:jc w:val="left"/>
      </w:pPr>
      <w:r>
        <w:rPr>
          <w:rFonts w:ascii="Times New Roman" w:hAnsi="Times New Roman" w:eastAsia="Times New Roman"/>
          <w:b/>
          <w:sz w:val="26"/>
        </w:rPr>
        <w:t>5.3. Этап 6: критерии и ограничения</w:t>
      </w:r>
    </w:p>
    <w:tbl>
      <w:tblPr>
        <w:tblStyle w:val="TableGrid"/>
        <w:tblW w:type="auto" w:w="0"/>
        <w:jc w:val="center"/>
        <w:tblLayout w:type="autofit"/>
        <w:tblLook w:firstColumn="1" w:firstRow="1" w:lastColumn="0" w:lastRow="0" w:noHBand="0" w:noVBand="1" w:val="04A0"/>
        <w:tblLayout w:type="autofit"/>
      </w:tblPr>
      <w:tblGrid>
        <w:gridCol w:w="2428"/>
        <w:gridCol w:w="6927"/>
      </w:tblGrid>
      <w:tr>
        <w:trPr>
          <w:cantSplit/>
          <w:tblHeader w:val="true"/>
        </w:trPr>
        <w:tc>
          <w:tcPr>
            <w:tcW w:type="dxa" w:w="2428"/>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Критерий</w:t>
            </w:r>
          </w:p>
        </w:tc>
        <w:tc>
          <w:tcPr>
            <w:tcW w:type="dxa" w:w="6927"/>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Показатель / вопрос</w:t>
            </w:r>
          </w:p>
        </w:tc>
      </w:tr>
      <w:tr>
        <w:trPr>
          <w:cantSplit/>
        </w:trPr>
        <w:tc>
          <w:tcPr>
            <w:tcW w:type="dxa" w:w="242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Безопасность и надёжность</w:t>
            </w:r>
          </w:p>
        </w:tc>
        <w:tc>
          <w:tcPr>
            <w:tcW w:type="dxa" w:w="692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Не растут ли простои, аварии, нарушения безопасного режима и число аварийных вызовов?</w:t>
            </w:r>
          </w:p>
        </w:tc>
      </w:tr>
      <w:tr>
        <w:trPr>
          <w:cantSplit/>
        </w:trPr>
        <w:tc>
          <w:tcPr>
            <w:tcW w:type="dxa" w:w="242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Реальная трудовая нагрузка</w:t>
            </w:r>
          </w:p>
        </w:tc>
        <w:tc>
          <w:tcPr>
            <w:tcW w:type="dxa" w:w="692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Сколько часов, заявок, видов работ и внеплановых вызовов приходится на механика? Какие задачи можно планировать или передать?</w:t>
            </w:r>
          </w:p>
        </w:tc>
      </w:tr>
      <w:tr>
        <w:trPr>
          <w:cantSplit/>
        </w:trPr>
        <w:tc>
          <w:tcPr>
            <w:tcW w:type="dxa" w:w="242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Качество обслуживания</w:t>
            </w:r>
          </w:p>
        </w:tc>
        <w:tc>
          <w:tcPr>
            <w:tcW w:type="dxa" w:w="692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Время реакции, повторные ремонты, выполнение профилактики, удовлетворённость внутренних заказчиков</w:t>
            </w:r>
          </w:p>
        </w:tc>
      </w:tr>
      <w:tr>
        <w:trPr>
          <w:cantSplit/>
        </w:trPr>
        <w:tc>
          <w:tcPr>
            <w:tcW w:type="dxa" w:w="242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Экономическая обоснованность</w:t>
            </w:r>
          </w:p>
        </w:tc>
        <w:tc>
          <w:tcPr>
            <w:tcW w:type="dxa" w:w="692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Что дешевле: помощник, перераспределение работ, изменение графика, профилактика или стоимость простоя/аварии?</w:t>
            </w:r>
          </w:p>
        </w:tc>
      </w:tr>
      <w:tr>
        <w:trPr>
          <w:cantSplit/>
        </w:trPr>
        <w:tc>
          <w:tcPr>
            <w:tcW w:type="dxa" w:w="242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Справедливость и климат</w:t>
            </w:r>
          </w:p>
        </w:tc>
        <w:tc>
          <w:tcPr>
            <w:tcW w:type="dxa" w:w="692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Есть ли ясный порядок постановки заявок и приоритетов; не получают ли разные сотрудники привилегию требовать работу вне очереди?</w:t>
            </w:r>
          </w:p>
        </w:tc>
      </w:tr>
      <w:tr>
        <w:trPr>
          <w:cantSplit/>
        </w:trPr>
        <w:tc>
          <w:tcPr>
            <w:tcW w:type="dxa" w:w="242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Трудовые и этические ограничения</w:t>
            </w:r>
          </w:p>
        </w:tc>
        <w:tc>
          <w:tcPr>
            <w:tcW w:type="dxa" w:w="692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Соблюдаются ли режим рабочего времени, отдых, охрана труда и конфиденциальность медицинских данных?</w:t>
            </w:r>
          </w:p>
        </w:tc>
      </w:tr>
    </w:tbl>
    <w:p>
      <w:pPr>
        <w:spacing w:line="240" w:lineRule="auto" w:before="0" w:after="0"/>
      </w:pPr>
    </w:p>
    <w:p>
      <w:pPr>
        <w:keepNext/>
        <w:spacing w:before="160" w:after="120"/>
        <w:ind w:firstLine="0"/>
        <w:jc w:val="left"/>
      </w:pPr>
      <w:r>
        <w:rPr>
          <w:rFonts w:ascii="Times New Roman" w:hAnsi="Times New Roman" w:eastAsia="Times New Roman"/>
          <w:b/>
          <w:sz w:val="26"/>
        </w:rPr>
        <w:t>5.4. Этап 7: альтернативы</w:t>
      </w:r>
    </w:p>
    <w:tbl>
      <w:tblPr>
        <w:tblStyle w:val="TableGrid"/>
        <w:tblW w:type="auto" w:w="0"/>
        <w:jc w:val="center"/>
        <w:tblLayout w:type="autofit"/>
        <w:tblLook w:firstColumn="1" w:firstRow="1" w:lastColumn="0" w:lastRow="0" w:noHBand="0" w:noVBand="1" w:val="04A0"/>
        <w:tblLayout w:type="autofit"/>
      </w:tblPr>
      <w:tblGrid>
        <w:gridCol w:w="3597"/>
        <w:gridCol w:w="2446"/>
        <w:gridCol w:w="3312"/>
      </w:tblGrid>
      <w:tr>
        <w:trPr>
          <w:cantSplit/>
          <w:tblHeader w:val="true"/>
        </w:trPr>
        <w:tc>
          <w:tcPr>
            <w:tcW w:type="dxa" w:w="3597"/>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Альтернатива</w:t>
            </w:r>
          </w:p>
        </w:tc>
        <w:tc>
          <w:tcPr>
            <w:tcW w:type="dxa" w:w="2446"/>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Плюс</w:t>
            </w:r>
          </w:p>
        </w:tc>
        <w:tc>
          <w:tcPr>
            <w:tcW w:type="dxa" w:w="3312"/>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Минус / риск</w:t>
            </w:r>
          </w:p>
        </w:tc>
      </w:tr>
      <w:tr>
        <w:trPr>
          <w:cantSplit/>
        </w:trPr>
        <w:tc>
          <w:tcPr>
            <w:tcW w:type="dxa" w:w="359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А. Отказать и потребовать «изменить отношение»</w:t>
            </w:r>
          </w:p>
        </w:tc>
        <w:tc>
          <w:tcPr>
            <w:tcW w:type="dxa" w:w="244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Нет прямого увеличения расходов</w:t>
            </w:r>
          </w:p>
        </w:tc>
        <w:tc>
          <w:tcPr>
            <w:tcW w:type="dxa" w:w="3312"/>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Игнорирует риск перегрузки и аварии, разрушает доверие, не устраняет хаос заявок</w:t>
            </w:r>
          </w:p>
        </w:tc>
      </w:tr>
      <w:tr>
        <w:trPr>
          <w:cantSplit/>
        </w:trPr>
        <w:tc>
          <w:tcPr>
            <w:tcW w:type="dxa" w:w="359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Б. Немедленно нанять помощника</w:t>
            </w:r>
          </w:p>
        </w:tc>
        <w:tc>
          <w:tcPr>
            <w:tcW w:type="dxa" w:w="244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Быстро снимает часть нагрузки</w:t>
            </w:r>
          </w:p>
        </w:tc>
        <w:tc>
          <w:tcPr>
            <w:tcW w:type="dxa" w:w="3312"/>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Может закрепить неэффективный процесс, не решает проблему неясных полномочий и требует постоянного фонда оплаты труда</w:t>
            </w:r>
          </w:p>
        </w:tc>
      </w:tr>
      <w:tr>
        <w:trPr>
          <w:cantSplit/>
        </w:trPr>
        <w:tc>
          <w:tcPr>
            <w:tcW w:type="dxa" w:w="359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 Провести диагностику, нормировать поток заявок, перераспределить плановые работы, уточнить график и полномочия; временно привлекать помощь только для пиков</w:t>
            </w:r>
          </w:p>
        </w:tc>
        <w:tc>
          <w:tcPr>
            <w:tcW w:type="dxa" w:w="244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Устраняет источники непроизводительной нагрузки; проверяет необходимость штатной единицы данными</w:t>
            </w:r>
          </w:p>
        </w:tc>
        <w:tc>
          <w:tcPr>
            <w:tcW w:type="dxa" w:w="3312"/>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Нужны время руководителя и дисциплина других подразделений</w:t>
            </w:r>
          </w:p>
        </w:tc>
      </w:tr>
      <w:tr>
        <w:trPr>
          <w:cantSplit/>
        </w:trPr>
        <w:tc>
          <w:tcPr>
            <w:tcW w:type="dxa" w:w="359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Г. Назначить механика неформальным «главным по всему» без изменения ресурсов и статуса</w:t>
            </w:r>
          </w:p>
        </w:tc>
        <w:tc>
          <w:tcPr>
            <w:tcW w:type="dxa" w:w="2446"/>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Может дать кратковременное признание</w:t>
            </w:r>
          </w:p>
        </w:tc>
        <w:tc>
          <w:tcPr>
            <w:tcW w:type="dxa" w:w="3312"/>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Увеличивает нагрузку и ответственность без поддержки; конфликт усилится</w:t>
            </w:r>
          </w:p>
        </w:tc>
      </w:tr>
    </w:tbl>
    <w:p>
      <w:pPr>
        <w:spacing w:line="240" w:lineRule="auto" w:before="0" w:after="0"/>
      </w:pPr>
    </w:p>
    <w:p>
      <w:pPr>
        <w:keepNext/>
        <w:spacing w:before="160" w:after="120"/>
        <w:ind w:firstLine="0"/>
        <w:jc w:val="left"/>
      </w:pPr>
      <w:r>
        <w:rPr>
          <w:rFonts w:ascii="Times New Roman" w:hAnsi="Times New Roman" w:eastAsia="Times New Roman"/>
          <w:b/>
          <w:sz w:val="26"/>
        </w:rPr>
        <w:t>5.5. Этап 8: рекомендуемое решение и аргументация</w:t>
      </w:r>
    </w:p>
    <w:p>
      <w:pPr>
        <w:spacing w:line="360" w:lineRule="auto" w:before="0" w:after="80"/>
        <w:ind w:firstLine="709"/>
        <w:jc w:val="both"/>
      </w:pPr>
      <w:r>
        <w:rPr>
          <w:rFonts w:ascii="Times New Roman" w:hAnsi="Times New Roman" w:eastAsia="Times New Roman"/>
          <w:b/>
          <w:i w:val="0"/>
          <w:sz w:val="28"/>
        </w:rPr>
        <w:t>Рекомендуется альтернатива В: не обесценивать жалобу и не обещать помощника автоматически, а за две–четыре недели провести совместную диагностику и изменить организацию работы.</w:t>
      </w:r>
    </w:p>
    <w:p>
      <w:pPr>
        <w:spacing w:line="360" w:lineRule="auto" w:before="0" w:after="80"/>
        <w:ind w:firstLine="709"/>
        <w:jc w:val="both"/>
      </w:pPr>
      <w:r>
        <w:rPr>
          <w:rFonts w:ascii="Times New Roman" w:hAnsi="Times New Roman" w:eastAsia="Times New Roman"/>
          <w:b w:val="0"/>
          <w:i w:val="0"/>
          <w:sz w:val="28"/>
        </w:rPr>
        <w:t>Правдоподобное объяснение того, почему механик мог остаться доволен без помощника: руководитель признал его профессиональную роль, дал ему возможность участвовать в составлении графика и приоритетов, прекратил поток несогласованных поручений, организовал профилактику и закрепил, кто и как подаёт заявки. Тем самым сократилась не вся работа, а её бессмысленная и конфликтная часть; механик получил предсказуемость и уважение.</w:t>
      </w:r>
    </w:p>
    <w:p>
      <w:pPr>
        <w:spacing w:line="360" w:lineRule="auto" w:before="0" w:after="80"/>
        <w:ind w:firstLine="709"/>
        <w:jc w:val="both"/>
      </w:pPr>
      <w:r>
        <w:rPr>
          <w:rFonts w:ascii="Times New Roman" w:hAnsi="Times New Roman" w:eastAsia="Times New Roman"/>
          <w:b w:val="0"/>
          <w:i w:val="0"/>
          <w:sz w:val="28"/>
        </w:rPr>
        <w:t xml:space="preserve">Такое объяснение не должно подменять проверку. Если хронометраж и журнал заявок покажут, что при нормальной организации нагрузка всё равно превышает безопасную норму, </w:t>
      </w:r>
      <w:r>
        <w:rPr>
          <w:rFonts w:ascii="Times New Roman" w:hAnsi="Times New Roman" w:eastAsia="Times New Roman"/>
          <w:b/>
          <w:i w:val="0"/>
          <w:sz w:val="28"/>
        </w:rPr>
        <w:t>помощник или иное ресурсное решение становится необходимым</w:t>
      </w:r>
      <w:r>
        <w:rPr>
          <w:rFonts w:ascii="Times New Roman" w:hAnsi="Times New Roman" w:eastAsia="Times New Roman"/>
          <w:b w:val="0"/>
          <w:i w:val="0"/>
          <w:sz w:val="28"/>
        </w:rPr>
        <w:t>, а не «уступкой капризному сотруднику».</w:t>
      </w:r>
    </w:p>
    <w:p>
      <w:pPr>
        <w:keepNext/>
        <w:spacing w:before="160" w:after="120"/>
        <w:ind w:firstLine="0"/>
        <w:jc w:val="left"/>
      </w:pPr>
      <w:r>
        <w:rPr>
          <w:rFonts w:ascii="Times New Roman" w:hAnsi="Times New Roman" w:eastAsia="Times New Roman"/>
          <w:b/>
          <w:sz w:val="26"/>
        </w:rPr>
        <w:t>5.6. Этап 9: план действий и контроль</w:t>
      </w:r>
    </w:p>
    <w:tbl>
      <w:tblPr>
        <w:tblStyle w:val="TableGrid"/>
        <w:tblW w:type="auto" w:w="0"/>
        <w:jc w:val="center"/>
        <w:tblLayout w:type="autofit"/>
        <w:tblLook w:firstColumn="1" w:firstRow="1" w:lastColumn="0" w:lastRow="0" w:noHBand="0" w:noVBand="1" w:val="04A0"/>
        <w:tblLayout w:type="autofit"/>
      </w:tblPr>
      <w:tblGrid>
        <w:gridCol w:w="754"/>
        <w:gridCol w:w="3994"/>
        <w:gridCol w:w="1487"/>
        <w:gridCol w:w="3120"/>
      </w:tblGrid>
      <w:tr>
        <w:trPr>
          <w:cantSplit/>
          <w:tblHeader w:val="true"/>
        </w:trPr>
        <w:tc>
          <w:tcPr>
            <w:tcW w:type="dxa" w:w="754"/>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Срок</w:t>
            </w:r>
          </w:p>
        </w:tc>
        <w:tc>
          <w:tcPr>
            <w:tcW w:type="dxa" w:w="3994"/>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Действие</w:t>
            </w:r>
          </w:p>
        </w:tc>
        <w:tc>
          <w:tcPr>
            <w:tcW w:type="dxa" w:w="1487"/>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Ответственный</w:t>
            </w:r>
          </w:p>
        </w:tc>
        <w:tc>
          <w:tcPr>
            <w:tcW w:type="dxa" w:w="3120"/>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Показатель результата</w:t>
            </w:r>
          </w:p>
        </w:tc>
      </w:tr>
      <w:tr>
        <w:trPr>
          <w:cantSplit/>
        </w:trPr>
        <w:tc>
          <w:tcPr>
            <w:tcW w:type="dxa" w:w="75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1-я неделя</w:t>
            </w:r>
          </w:p>
        </w:tc>
        <w:tc>
          <w:tcPr>
            <w:tcW w:type="dxa" w:w="399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Провести конфиденциальную беседу; описать задачи, вызовы, график, источники внеплановых поручений и риски</w:t>
            </w:r>
          </w:p>
        </w:tc>
        <w:tc>
          <w:tcPr>
            <w:tcW w:type="dxa" w:w="148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Руководитель и механик</w:t>
            </w:r>
          </w:p>
        </w:tc>
        <w:tc>
          <w:tcPr>
            <w:tcW w:type="dxa" w:w="312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Согласованный перечень проблем без взаимных обвинений</w:t>
            </w:r>
          </w:p>
        </w:tc>
      </w:tr>
      <w:tr>
        <w:trPr>
          <w:cantSplit/>
        </w:trPr>
        <w:tc>
          <w:tcPr>
            <w:tcW w:type="dxa" w:w="75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2-я неделя</w:t>
            </w:r>
          </w:p>
        </w:tc>
        <w:tc>
          <w:tcPr>
            <w:tcW w:type="dxa" w:w="399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Вести журнал заявок и хронометраж; отделить аварийные, плановые и чужие задачи</w:t>
            </w:r>
          </w:p>
        </w:tc>
        <w:tc>
          <w:tcPr>
            <w:tcW w:type="dxa" w:w="148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Руководитель / диспетчер</w:t>
            </w:r>
          </w:p>
        </w:tc>
        <w:tc>
          <w:tcPr>
            <w:tcW w:type="dxa" w:w="312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Доля заявок с назначенным приоритетом; фактическая загрузка по сменам</w:t>
            </w:r>
          </w:p>
        </w:tc>
      </w:tr>
      <w:tr>
        <w:trPr>
          <w:cantSplit/>
        </w:trPr>
        <w:tc>
          <w:tcPr>
            <w:tcW w:type="dxa" w:w="75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3-я неделя</w:t>
            </w:r>
          </w:p>
        </w:tc>
        <w:tc>
          <w:tcPr>
            <w:tcW w:type="dxa" w:w="399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Утвердить очередь заявок, окно для профилактики, резервный порядок на пик; назначить ответственных за передачу оборудования</w:t>
            </w:r>
          </w:p>
        </w:tc>
        <w:tc>
          <w:tcPr>
            <w:tcW w:type="dxa" w:w="148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Руководитель подразделения</w:t>
            </w:r>
          </w:p>
        </w:tc>
        <w:tc>
          <w:tcPr>
            <w:tcW w:type="dxa" w:w="312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Снижение неплановых отвлечений и повторных вызовов</w:t>
            </w:r>
          </w:p>
        </w:tc>
      </w:tr>
      <w:tr>
        <w:trPr>
          <w:cantSplit/>
        </w:trPr>
        <w:tc>
          <w:tcPr>
            <w:tcW w:type="dxa" w:w="75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4-я неделя</w:t>
            </w:r>
          </w:p>
        </w:tc>
        <w:tc>
          <w:tcPr>
            <w:tcW w:type="dxa" w:w="399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Сопоставить стоимость вариантов: помощник, временный ресурс, изменение графика, профилактика</w:t>
            </w:r>
          </w:p>
        </w:tc>
        <w:tc>
          <w:tcPr>
            <w:tcW w:type="dxa" w:w="148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Руководитель и экономист</w:t>
            </w:r>
          </w:p>
        </w:tc>
        <w:tc>
          <w:tcPr>
            <w:tcW w:type="dxa" w:w="312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Решение основано на нагрузке, риске простоя и соблюдении безопасного режима</w:t>
            </w:r>
          </w:p>
        </w:tc>
      </w:tr>
      <w:tr>
        <w:trPr>
          <w:cantSplit/>
        </w:trPr>
        <w:tc>
          <w:tcPr>
            <w:tcW w:type="dxa" w:w="75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Ежемесячно</w:t>
            </w:r>
          </w:p>
        </w:tc>
        <w:tc>
          <w:tcPr>
            <w:tcW w:type="dxa" w:w="399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Короткая встреча по отклонениям</w:t>
            </w:r>
          </w:p>
        </w:tc>
        <w:tc>
          <w:tcPr>
            <w:tcW w:type="dxa" w:w="148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Руководитель и механик</w:t>
            </w:r>
          </w:p>
        </w:tc>
        <w:tc>
          <w:tcPr>
            <w:tcW w:type="dxa" w:w="312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Время простоя, аварийные заявки, сверхурочные часы, качество профилактики</w:t>
            </w:r>
          </w:p>
        </w:tc>
      </w:tr>
    </w:tbl>
    <w:p>
      <w:pPr>
        <w:spacing w:line="240" w:lineRule="auto" w:before="0" w:after="0"/>
      </w:pPr>
    </w:p>
    <w:p>
      <w:pPr>
        <w:keepNext/>
        <w:spacing w:before="240" w:after="120"/>
        <w:ind w:firstLine="0"/>
        <w:jc w:val="left"/>
      </w:pPr>
      <w:r>
        <w:rPr>
          <w:rFonts w:ascii="Times New Roman" w:hAnsi="Times New Roman" w:eastAsia="Times New Roman"/>
          <w:b/>
          <w:sz w:val="28"/>
          <w:color w:val="1F4E79"/>
        </w:rPr>
        <w:t>6. Ситуация 3. Сокращение одного работника после уменьшения фонда оплаты труда</w:t>
      </w:r>
    </w:p>
    <w:p>
      <w:pPr>
        <w:keepNext/>
        <w:spacing w:before="160" w:after="120"/>
        <w:ind w:firstLine="0"/>
        <w:jc w:val="left"/>
      </w:pPr>
      <w:r>
        <w:rPr>
          <w:rFonts w:ascii="Times New Roman" w:hAnsi="Times New Roman" w:eastAsia="Times New Roman"/>
          <w:b/>
          <w:sz w:val="26"/>
        </w:rPr>
        <w:t>6.1. Этап 1: краткое изложение фактов</w:t>
      </w:r>
    </w:p>
    <w:p>
      <w:pPr>
        <w:spacing w:line="360" w:lineRule="auto" w:before="0" w:after="80"/>
        <w:ind w:firstLine="709"/>
        <w:jc w:val="both"/>
      </w:pPr>
      <w:r>
        <w:rPr>
          <w:rFonts w:ascii="Times New Roman" w:hAnsi="Times New Roman" w:eastAsia="Times New Roman"/>
          <w:b w:val="0"/>
          <w:i w:val="0"/>
          <w:sz w:val="28"/>
        </w:rPr>
        <w:t>Руководитель сборки на четырёх линиях предприятия должен сократить одного работника вследствие уменьшения фонда заработной платы. Рабочие получают примерно одинаковую оплату. В кейсе представлены характеристики четырёх сотрудников: Марии, Дмитрия, Пелагеи и Николая [1, с. 185].</w:t>
      </w:r>
    </w:p>
    <w:tbl>
      <w:tblPr>
        <w:tblStyle w:val="TableGrid"/>
        <w:tblW w:type="auto" w:w="0"/>
        <w:jc w:val="center"/>
        <w:tblLayout w:type="autofit"/>
        <w:tblLook w:firstColumn="1" w:firstRow="1" w:lastColumn="0" w:lastRow="0" w:noHBand="0" w:noVBand="1" w:val="04A0"/>
        <w:tblLayout w:type="autofit"/>
      </w:tblPr>
      <w:tblGrid>
        <w:gridCol w:w="563"/>
        <w:gridCol w:w="1570"/>
        <w:gridCol w:w="3150"/>
        <w:gridCol w:w="4072"/>
      </w:tblGrid>
      <w:tr>
        <w:trPr>
          <w:cantSplit/>
          <w:tblHeader w:val="true"/>
        </w:trPr>
        <w:tc>
          <w:tcPr>
            <w:tcW w:type="dxa" w:w="563"/>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Работник</w:t>
            </w:r>
          </w:p>
        </w:tc>
        <w:tc>
          <w:tcPr>
            <w:tcW w:type="dxa" w:w="1570"/>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Данные о квалификации и стаже</w:t>
            </w:r>
          </w:p>
        </w:tc>
        <w:tc>
          <w:tcPr>
            <w:tcW w:type="dxa" w:w="3150"/>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Наблюдаемые рабочие характеристики</w:t>
            </w:r>
          </w:p>
        </w:tc>
        <w:tc>
          <w:tcPr>
            <w:tcW w:type="dxa" w:w="4072"/>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Важное замечание</w:t>
            </w:r>
          </w:p>
        </w:tc>
      </w:tr>
      <w:tr>
        <w:trPr>
          <w:cantSplit/>
        </w:trPr>
        <w:tc>
          <w:tcPr>
            <w:tcW w:type="dxa" w:w="563"/>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Мария</w:t>
            </w:r>
          </w:p>
        </w:tc>
        <w:tc>
          <w:tcPr>
            <w:tcW w:type="dxa" w:w="157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Профессиональное училище; стаж 8 лет</w:t>
            </w:r>
          </w:p>
        </w:tc>
        <w:tc>
          <w:tcPr>
            <w:tcW w:type="dxa" w:w="315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Работает медленно, иногда опаздывает, подвержена перепадам настроения; ладит с коллективом, честна</w:t>
            </w:r>
          </w:p>
        </w:tc>
        <w:tc>
          <w:tcPr>
            <w:tcW w:type="dxa" w:w="4072"/>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Двое детей; личные и медицинские сведения не могут автоматически быть критерием эффективности</w:t>
            </w:r>
          </w:p>
        </w:tc>
      </w:tr>
      <w:tr>
        <w:trPr>
          <w:cantSplit/>
        </w:trPr>
        <w:tc>
          <w:tcPr>
            <w:tcW w:type="dxa" w:w="563"/>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Дмитрий</w:t>
            </w:r>
          </w:p>
        </w:tc>
        <w:tc>
          <w:tcPr>
            <w:tcW w:type="dxa" w:w="157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Не окончил среднюю школу; стаж 5 лет</w:t>
            </w:r>
          </w:p>
        </w:tc>
        <w:tc>
          <w:tcPr>
            <w:tcW w:type="dxa" w:w="315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Хороший работник, ладит с коллегами, иногда опаздывает, приятен в общении, готов помочь</w:t>
            </w:r>
          </w:p>
        </w:tc>
        <w:tc>
          <w:tcPr>
            <w:tcW w:type="dxa" w:w="4072"/>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Имеет физический недостаток, который, по условию, не влияет на работу; хочет получить лучшую должность на предприятии</w:t>
            </w:r>
          </w:p>
        </w:tc>
      </w:tr>
      <w:tr>
        <w:trPr>
          <w:cantSplit/>
        </w:trPr>
        <w:tc>
          <w:tcPr>
            <w:tcW w:type="dxa" w:w="563"/>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Пелагея</w:t>
            </w:r>
          </w:p>
        </w:tc>
        <w:tc>
          <w:tcPr>
            <w:tcW w:type="dxa" w:w="157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Средняя школа; стаж 2 года</w:t>
            </w:r>
          </w:p>
        </w:tc>
        <w:tc>
          <w:tcPr>
            <w:tcW w:type="dxa" w:w="315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Средний работник, отношения с коллегами хорошие, иногда опаздывает, приятна в общении</w:t>
            </w:r>
          </w:p>
        </w:tc>
        <w:tc>
          <w:tcPr>
            <w:tcW w:type="dxa" w:w="4072"/>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По условию её дядя хотел бы, чтобы она училась бизнесу; это не является основанием для увольнения, но может учитываться только в добровольном карьерном разговоре</w:t>
            </w:r>
          </w:p>
        </w:tc>
      </w:tr>
      <w:tr>
        <w:trPr>
          <w:cantSplit/>
        </w:trPr>
        <w:tc>
          <w:tcPr>
            <w:tcW w:type="dxa" w:w="563"/>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Николай</w:t>
            </w:r>
          </w:p>
        </w:tc>
        <w:tc>
          <w:tcPr>
            <w:tcW w:type="dxa" w:w="157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Вечерний техникум; стаж 6 лет</w:t>
            </w:r>
          </w:p>
        </w:tc>
        <w:tc>
          <w:tcPr>
            <w:tcW w:type="dxa" w:w="3150"/>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Хороший работник, не очень близок с коллективом, никогда не опаздывает, спокоен</w:t>
            </w:r>
          </w:p>
        </w:tc>
        <w:tc>
          <w:tcPr>
            <w:tcW w:type="dxa" w:w="4072"/>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Возможно, сменит профессию после завершения учёбы; намерение не является основанием для принудительного увольнения</w:t>
            </w:r>
          </w:p>
        </w:tc>
      </w:tr>
    </w:tbl>
    <w:p>
      <w:pPr>
        <w:spacing w:line="240" w:lineRule="auto" w:before="0" w:after="0"/>
      </w:pPr>
    </w:p>
    <w:p>
      <w:pPr>
        <w:keepNext/>
        <w:spacing w:before="160" w:after="120"/>
        <w:ind w:firstLine="0"/>
        <w:jc w:val="left"/>
      </w:pPr>
      <w:r>
        <w:rPr>
          <w:rFonts w:ascii="Times New Roman" w:hAnsi="Times New Roman" w:eastAsia="Times New Roman"/>
          <w:b/>
          <w:sz w:val="26"/>
        </w:rPr>
        <w:t>6.2. Этапы 2–5: цель, проблема, участники, хронология и конфликт</w:t>
      </w:r>
    </w:p>
    <w:tbl>
      <w:tblPr>
        <w:tblStyle w:val="TableGrid"/>
        <w:tblW w:type="auto" w:w="0"/>
        <w:jc w:val="center"/>
        <w:tblLayout w:type="autofit"/>
        <w:tblLook w:firstColumn="1" w:firstRow="1" w:lastColumn="0" w:lastRow="0" w:noHBand="0" w:noVBand="1" w:val="04A0"/>
        <w:tblLayout w:type="autofit"/>
      </w:tblPr>
      <w:tblGrid>
        <w:gridCol w:w="1294"/>
        <w:gridCol w:w="8061"/>
      </w:tblGrid>
      <w:tr>
        <w:trPr>
          <w:cantSplit/>
          <w:tblHeader w:val="true"/>
        </w:trPr>
        <w:tc>
          <w:tcPr>
            <w:tcW w:type="dxa" w:w="1294"/>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Элемент</w:t>
            </w:r>
          </w:p>
        </w:tc>
        <w:tc>
          <w:tcPr>
            <w:tcW w:type="dxa" w:w="8061"/>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Анализ</w:t>
            </w:r>
          </w:p>
        </w:tc>
      </w:tr>
      <w:tr>
        <w:trPr>
          <w:cantSplit/>
        </w:trPr>
        <w:tc>
          <w:tcPr>
            <w:tcW w:type="dxa" w:w="129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Лицо, принимающее решение</w:t>
            </w:r>
          </w:p>
        </w:tc>
        <w:tc>
          <w:tcPr>
            <w:tcW w:type="dxa" w:w="80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Руководитель сборочного подразделения совместно с HR и юридической функцией.</w:t>
            </w:r>
          </w:p>
        </w:tc>
      </w:tr>
      <w:tr>
        <w:trPr>
          <w:cantSplit/>
        </w:trPr>
        <w:tc>
          <w:tcPr>
            <w:tcW w:type="dxa" w:w="129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Цель</w:t>
            </w:r>
          </w:p>
        </w:tc>
        <w:tc>
          <w:tcPr>
            <w:tcW w:type="dxa" w:w="80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Снизить расходы на оплату труда до утверждённого уровня при сохранении качества, производительности, безопасности и справедливой процедуры.</w:t>
            </w:r>
          </w:p>
        </w:tc>
      </w:tr>
      <w:tr>
        <w:trPr>
          <w:cantSplit/>
        </w:trPr>
        <w:tc>
          <w:tcPr>
            <w:tcW w:type="dxa" w:w="129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Проблема</w:t>
            </w:r>
          </w:p>
        </w:tc>
        <w:tc>
          <w:tcPr>
            <w:tcW w:type="dxa" w:w="80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Денег в фонде оплаты труда недостаточно для сохранения четырёх одинаково оплачиваемых позиций, но сокращение одного человека может снизить выпуск, разрушить доверие и создать правовой риск.</w:t>
            </w:r>
          </w:p>
        </w:tc>
      </w:tr>
      <w:tr>
        <w:trPr>
          <w:cantSplit/>
        </w:trPr>
        <w:tc>
          <w:tcPr>
            <w:tcW w:type="dxa" w:w="129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Участники и интересы</w:t>
            </w:r>
          </w:p>
        </w:tc>
        <w:tc>
          <w:tcPr>
            <w:tcW w:type="dxa" w:w="80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Работники заинтересованы в сохранении работы и справедливости; руководитель - в выполнении производственной программы; коллектив - в приемлемом распределении нагрузки; организация - в соблюдении закона и репутации.</w:t>
            </w:r>
          </w:p>
        </w:tc>
      </w:tr>
      <w:tr>
        <w:trPr>
          <w:cantSplit/>
        </w:trPr>
        <w:tc>
          <w:tcPr>
            <w:tcW w:type="dxa" w:w="129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Хронология</w:t>
            </w:r>
          </w:p>
        </w:tc>
        <w:tc>
          <w:tcPr>
            <w:tcW w:type="dxa" w:w="80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Сокращён фонд оплаты труда → появляется необходимость уменьшить затраты → проверяются альтернативы увольнению → при их недостаточности проводится сравнение деловых качеств → оформляется решение и поддержка высвобождаемого сотрудника.</w:t>
            </w:r>
          </w:p>
        </w:tc>
      </w:tr>
      <w:tr>
        <w:trPr>
          <w:cantSplit/>
        </w:trPr>
        <w:tc>
          <w:tcPr>
            <w:tcW w:type="dxa" w:w="129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Конфликт</w:t>
            </w:r>
          </w:p>
        </w:tc>
        <w:tc>
          <w:tcPr>
            <w:tcW w:type="dxa" w:w="8061"/>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Ограниченный фонд оплаты труда конфликтует с потребностью сохранить людей и компетенции. Это организационно-экономический конфликт, который нельзя разрешать личной симпатией или наказанием за непопулярность.</w:t>
            </w:r>
          </w:p>
        </w:tc>
      </w:tr>
    </w:tbl>
    <w:p>
      <w:pPr>
        <w:spacing w:line="240" w:lineRule="auto" w:before="0" w:after="0"/>
      </w:pPr>
    </w:p>
    <w:p>
      <w:pPr>
        <w:keepNext/>
        <w:spacing w:before="160" w:after="120"/>
        <w:ind w:firstLine="0"/>
        <w:jc w:val="left"/>
      </w:pPr>
      <w:r>
        <w:rPr>
          <w:rFonts w:ascii="Times New Roman" w:hAnsi="Times New Roman" w:eastAsia="Times New Roman"/>
          <w:b/>
          <w:sz w:val="26"/>
        </w:rPr>
        <w:t>6.3. Этап 6: критерии, ограничения и этические рамки</w:t>
      </w:r>
    </w:p>
    <w:p>
      <w:pPr>
        <w:spacing w:line="360" w:lineRule="auto" w:before="0" w:after="80"/>
        <w:ind w:firstLine="709"/>
        <w:jc w:val="both"/>
      </w:pPr>
      <w:r>
        <w:rPr>
          <w:rFonts w:ascii="Times New Roman" w:hAnsi="Times New Roman" w:eastAsia="Times New Roman"/>
          <w:b/>
          <w:i w:val="0"/>
          <w:sz w:val="28"/>
        </w:rPr>
        <w:t>Фонд заработной платы (ФЗП)</w:t>
      </w:r>
      <w:r>
        <w:rPr>
          <w:rFonts w:ascii="Times New Roman" w:hAnsi="Times New Roman" w:eastAsia="Times New Roman"/>
          <w:b w:val="0"/>
          <w:i w:val="0"/>
          <w:sz w:val="28"/>
        </w:rPr>
        <w:t xml:space="preserve"> - планируемая или фактическая сумма денежных средств на оплату труда работников и связанные выплаты за установленный период. Его уменьшение не доказывает автоматически необходимость увольнения: сначала проверяются вакантные позиции, непрофильные расходы, сверхурочные, перераспределение работ, временные режимы и добровольные варианты.</w:t>
      </w:r>
    </w:p>
    <w:tbl>
      <w:tblPr>
        <w:tblStyle w:val="TableGrid"/>
        <w:tblW w:type="auto" w:w="0"/>
        <w:jc w:val="center"/>
        <w:tblLayout w:type="autofit"/>
        <w:tblLook w:firstColumn="1" w:firstRow="1" w:lastColumn="0" w:lastRow="0" w:noHBand="0" w:noVBand="1" w:val="04A0"/>
        <w:tblLayout w:type="autofit"/>
      </w:tblPr>
      <w:tblGrid>
        <w:gridCol w:w="2418"/>
        <w:gridCol w:w="3034"/>
        <w:gridCol w:w="3903"/>
      </w:tblGrid>
      <w:tr>
        <w:trPr>
          <w:cantSplit/>
          <w:tblHeader w:val="true"/>
        </w:trPr>
        <w:tc>
          <w:tcPr>
            <w:tcW w:type="dxa" w:w="2418"/>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Допустимый критерий при сравнении работников</w:t>
            </w:r>
          </w:p>
        </w:tc>
        <w:tc>
          <w:tcPr>
            <w:tcW w:type="dxa" w:w="3034"/>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Почему допустим</w:t>
            </w:r>
          </w:p>
        </w:tc>
        <w:tc>
          <w:tcPr>
            <w:tcW w:type="dxa" w:w="3903"/>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Как подтверждать</w:t>
            </w:r>
          </w:p>
        </w:tc>
      </w:tr>
      <w:tr>
        <w:trPr>
          <w:cantSplit/>
        </w:trPr>
        <w:tc>
          <w:tcPr>
            <w:tcW w:type="dxa" w:w="241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Производительность и качество труда</w:t>
            </w:r>
          </w:p>
        </w:tc>
        <w:tc>
          <w:tcPr>
            <w:tcW w:type="dxa" w:w="303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Непосредственно связаны с целью сохранить работу линии</w:t>
            </w:r>
          </w:p>
        </w:tc>
        <w:tc>
          <w:tcPr>
            <w:tcW w:type="dxa" w:w="3903"/>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Выработка, брак, выполнение норм, результаты аттестации за сопоставимый период</w:t>
            </w:r>
          </w:p>
        </w:tc>
      </w:tr>
      <w:tr>
        <w:trPr>
          <w:cantSplit/>
        </w:trPr>
        <w:tc>
          <w:tcPr>
            <w:tcW w:type="dxa" w:w="241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Квалификация и подтверждённые навыки</w:t>
            </w:r>
          </w:p>
        </w:tc>
        <w:tc>
          <w:tcPr>
            <w:tcW w:type="dxa" w:w="303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Влияют на взаимозаменяемость, безопасность и способность обслуживать линии</w:t>
            </w:r>
          </w:p>
        </w:tc>
        <w:tc>
          <w:tcPr>
            <w:tcW w:type="dxa" w:w="3903"/>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Образование, допуски, освоенные операции, результаты обучения</w:t>
            </w:r>
          </w:p>
        </w:tc>
      </w:tr>
      <w:tr>
        <w:trPr>
          <w:cantSplit/>
        </w:trPr>
        <w:tc>
          <w:tcPr>
            <w:tcW w:type="dxa" w:w="241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Надёжность выполнения трудовой функции</w:t>
            </w:r>
          </w:p>
        </w:tc>
        <w:tc>
          <w:tcPr>
            <w:tcW w:type="dxa" w:w="303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Влияет на непрерывность сборки</w:t>
            </w:r>
          </w:p>
        </w:tc>
        <w:tc>
          <w:tcPr>
            <w:tcW w:type="dxa" w:w="3903"/>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Документированные опоздания, соблюдение графика, дисциплинарные факты, отсутствие субъективных слухов</w:t>
            </w:r>
          </w:p>
        </w:tc>
      </w:tr>
      <w:tr>
        <w:trPr>
          <w:cantSplit/>
        </w:trPr>
        <w:tc>
          <w:tcPr>
            <w:tcW w:type="dxa" w:w="241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Вклад во взаимодействие и передачу знаний</w:t>
            </w:r>
          </w:p>
        </w:tc>
        <w:tc>
          <w:tcPr>
            <w:tcW w:type="dxa" w:w="303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Для линии важны кооперация и возможность заменить коллегу</w:t>
            </w:r>
          </w:p>
        </w:tc>
        <w:tc>
          <w:tcPr>
            <w:tcW w:type="dxa" w:w="3903"/>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Отзывы по единым вопросам, наставничество, выполнение командных задач</w:t>
            </w:r>
          </w:p>
        </w:tc>
      </w:tr>
      <w:tr>
        <w:trPr>
          <w:cantSplit/>
        </w:trPr>
        <w:tc>
          <w:tcPr>
            <w:tcW w:type="dxa" w:w="2418"/>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Возможность перевода / переобучения</w:t>
            </w:r>
          </w:p>
        </w:tc>
        <w:tc>
          <w:tcPr>
            <w:tcW w:type="dxa" w:w="303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Может предотвратить увольнение при наличии вакансии</w:t>
            </w:r>
          </w:p>
        </w:tc>
        <w:tc>
          <w:tcPr>
            <w:tcW w:type="dxa" w:w="3903"/>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Перечень вакансий, медицинские допуски, согласие работника, план обучения</w:t>
            </w:r>
          </w:p>
        </w:tc>
      </w:tr>
    </w:tbl>
    <w:p>
      <w:pPr>
        <w:spacing w:line="240" w:lineRule="auto" w:before="0" w:after="0"/>
      </w:pPr>
    </w:p>
    <w:p>
      <w:pPr>
        <w:spacing w:line="360" w:lineRule="auto" w:before="0" w:after="80"/>
        <w:ind w:firstLine="709"/>
        <w:jc w:val="both"/>
      </w:pPr>
      <w:r>
        <w:rPr>
          <w:rFonts w:ascii="Times New Roman" w:hAnsi="Times New Roman" w:eastAsia="Times New Roman"/>
          <w:b/>
          <w:i w:val="0"/>
          <w:sz w:val="28"/>
        </w:rPr>
        <w:t>Не должны быть самостоятельным основанием выбора:</w:t>
      </w:r>
      <w:r>
        <w:rPr>
          <w:rFonts w:ascii="Times New Roman" w:hAnsi="Times New Roman" w:eastAsia="Times New Roman"/>
          <w:b w:val="0"/>
          <w:i w:val="0"/>
          <w:sz w:val="28"/>
        </w:rPr>
        <w:t xml:space="preserve"> семейное положение, наличие детей или иных иждивенцев, возраст, прошлое заболевание, инвалидность, настроение, личная симпатия руководителя, планы на учёбу либо возможную смену профессии. Эти сведения могут быть важны только для законной процедуры и поддержки человека, но не заменяют оценку деловых качеств. До решения необходимо проверить действующие нормы трудового права, коллективный договор, гарантии и преимущественное право на оставление на работе; при равных деловых качествах правовые и социальные гарантии могут иметь значение [2].</w:t>
      </w:r>
    </w:p>
    <w:p>
      <w:pPr>
        <w:keepNext/>
        <w:spacing w:before="160" w:after="120"/>
        <w:ind w:firstLine="0"/>
        <w:jc w:val="left"/>
      </w:pPr>
      <w:r>
        <w:rPr>
          <w:rFonts w:ascii="Times New Roman" w:hAnsi="Times New Roman" w:eastAsia="Times New Roman"/>
          <w:b/>
          <w:sz w:val="26"/>
        </w:rPr>
        <w:t>6.4. Этап 7: альтернативы</w:t>
      </w:r>
    </w:p>
    <w:tbl>
      <w:tblPr>
        <w:tblStyle w:val="TableGrid"/>
        <w:tblW w:type="auto" w:w="0"/>
        <w:jc w:val="center"/>
        <w:tblLayout w:type="autofit"/>
        <w:tblLook w:firstColumn="1" w:firstRow="1" w:lastColumn="0" w:lastRow="0" w:noHBand="0" w:noVBand="1" w:val="04A0"/>
        <w:tblLayout w:type="autofit"/>
      </w:tblPr>
      <w:tblGrid>
        <w:gridCol w:w="4749"/>
        <w:gridCol w:w="1724"/>
        <w:gridCol w:w="2882"/>
      </w:tblGrid>
      <w:tr>
        <w:trPr>
          <w:cantSplit/>
          <w:tblHeader w:val="true"/>
        </w:trPr>
        <w:tc>
          <w:tcPr>
            <w:tcW w:type="dxa" w:w="4749"/>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Альтернатива</w:t>
            </w:r>
          </w:p>
        </w:tc>
        <w:tc>
          <w:tcPr>
            <w:tcW w:type="dxa" w:w="1724"/>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Сильная сторона</w:t>
            </w:r>
          </w:p>
        </w:tc>
        <w:tc>
          <w:tcPr>
            <w:tcW w:type="dxa" w:w="2882"/>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Риск / условие</w:t>
            </w:r>
          </w:p>
        </w:tc>
      </w:tr>
      <w:tr>
        <w:trPr>
          <w:cantSplit/>
        </w:trPr>
        <w:tc>
          <w:tcPr>
            <w:tcW w:type="dxa" w:w="474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А. Немедленно выбрать человека по личным сведениям из таблицы</w:t>
            </w:r>
          </w:p>
        </w:tc>
        <w:tc>
          <w:tcPr>
            <w:tcW w:type="dxa" w:w="172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Быстрое решение</w:t>
            </w:r>
          </w:p>
        </w:tc>
        <w:tc>
          <w:tcPr>
            <w:tcW w:type="dxa" w:w="2882"/>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Дискриминация, правовой риск, потеря доверия; решение не связано с результатом линии</w:t>
            </w:r>
          </w:p>
        </w:tc>
      </w:tr>
      <w:tr>
        <w:trPr>
          <w:cantSplit/>
        </w:trPr>
        <w:tc>
          <w:tcPr>
            <w:tcW w:type="dxa" w:w="474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Б. Не увольнять никого и распределить дефицит между всеми без анализа</w:t>
            </w:r>
          </w:p>
        </w:tc>
        <w:tc>
          <w:tcPr>
            <w:tcW w:type="dxa" w:w="172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Сохраняются рабочие места краткосрочно</w:t>
            </w:r>
          </w:p>
        </w:tc>
        <w:tc>
          <w:tcPr>
            <w:tcW w:type="dxa" w:w="2882"/>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Может не выполнить требование по ФЗП и ухудшить мотивацию всех сотрудников</w:t>
            </w:r>
          </w:p>
        </w:tc>
      </w:tr>
      <w:tr>
        <w:trPr>
          <w:cantSplit/>
        </w:trPr>
        <w:tc>
          <w:tcPr>
            <w:tcW w:type="dxa" w:w="474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В. Сначала использовать альтернативы увольнению: вакансии, естественная убыль, сокращение сверхурочных, добровольные программы, переобучение, временное изменение режима - если это законно и не разрушает производство</w:t>
            </w:r>
          </w:p>
        </w:tc>
        <w:tc>
          <w:tcPr>
            <w:tcW w:type="dxa" w:w="172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Снижает социальный ущерб и сохраняет компетенции</w:t>
            </w:r>
          </w:p>
        </w:tc>
        <w:tc>
          <w:tcPr>
            <w:tcW w:type="dxa" w:w="2882"/>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Не всегда даёт нужный объём экономии; требуется согласие и расчёт эффекта</w:t>
            </w:r>
          </w:p>
        </w:tc>
      </w:tr>
      <w:tr>
        <w:trPr>
          <w:cantSplit/>
        </w:trPr>
        <w:tc>
          <w:tcPr>
            <w:tcW w:type="dxa" w:w="474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Г. При неизбежности сокращения провести документированное сравнение деловых качеств, проверить право на преимущественное оставление, предложить вакансии и только затем принять персональное решение</w:t>
            </w:r>
          </w:p>
        </w:tc>
        <w:tc>
          <w:tcPr>
            <w:tcW w:type="dxa" w:w="172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Наиболее справедливый и проверяемый путь</w:t>
            </w:r>
          </w:p>
        </w:tc>
        <w:tc>
          <w:tcPr>
            <w:tcW w:type="dxa" w:w="2882"/>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Требует времени, корректного оформления и готовности руководителя объяснить решение</w:t>
            </w:r>
          </w:p>
        </w:tc>
      </w:tr>
    </w:tbl>
    <w:p>
      <w:pPr>
        <w:spacing w:line="240" w:lineRule="auto" w:before="0" w:after="0"/>
      </w:pPr>
    </w:p>
    <w:p>
      <w:pPr>
        <w:keepNext/>
        <w:spacing w:before="160" w:after="120"/>
        <w:ind w:firstLine="0"/>
        <w:jc w:val="left"/>
      </w:pPr>
      <w:r>
        <w:rPr>
          <w:rFonts w:ascii="Times New Roman" w:hAnsi="Times New Roman" w:eastAsia="Times New Roman"/>
          <w:b/>
          <w:sz w:val="26"/>
        </w:rPr>
        <w:t>6.5. Этап 8: рекомендуемое решение и аргументация</w:t>
      </w:r>
    </w:p>
    <w:p>
      <w:pPr>
        <w:spacing w:line="360" w:lineRule="auto" w:before="0" w:after="80"/>
        <w:ind w:firstLine="709"/>
        <w:jc w:val="both"/>
      </w:pPr>
      <w:r>
        <w:rPr>
          <w:rFonts w:ascii="Times New Roman" w:hAnsi="Times New Roman" w:eastAsia="Times New Roman"/>
          <w:b/>
          <w:i w:val="0"/>
          <w:sz w:val="28"/>
        </w:rPr>
        <w:t>Рекомендуется последовательность В → Г.</w:t>
      </w:r>
      <w:r>
        <w:rPr>
          <w:rFonts w:ascii="Times New Roman" w:hAnsi="Times New Roman" w:eastAsia="Times New Roman"/>
          <w:b w:val="0"/>
          <w:i w:val="0"/>
          <w:sz w:val="28"/>
        </w:rPr>
        <w:t xml:space="preserve"> Сначала руководитель обязан проверить, можно ли достигнуть необходимого сокращения ФЗП без принудительного увольнения. Если это невозможно, проводится сопоставимая по всем четырём работникам оценка производительности, качества, квалификации, надёжности и взаимозаменяемости на основе документов за один период.</w:t>
      </w:r>
    </w:p>
    <w:p>
      <w:pPr>
        <w:spacing w:line="360" w:lineRule="auto" w:before="0" w:after="80"/>
        <w:ind w:firstLine="709"/>
        <w:jc w:val="both"/>
      </w:pPr>
      <w:r>
        <w:rPr>
          <w:rFonts w:ascii="Times New Roman" w:hAnsi="Times New Roman" w:eastAsia="Times New Roman"/>
          <w:b/>
          <w:i w:val="0"/>
          <w:sz w:val="28"/>
        </w:rPr>
        <w:t>Предварительная учебная рекомендация по данным кейса:</w:t>
      </w:r>
      <w:r>
        <w:rPr>
          <w:rFonts w:ascii="Times New Roman" w:hAnsi="Times New Roman" w:eastAsia="Times New Roman"/>
          <w:b w:val="0"/>
          <w:i w:val="0"/>
          <w:sz w:val="28"/>
        </w:rPr>
        <w:t xml:space="preserve"> если фактические показатели подтверждают словесные характеристики и отсутствуют юридические ограничения, наиболее вероятным кандидатом на высвобождение является </w:t>
      </w:r>
      <w:r>
        <w:rPr>
          <w:rFonts w:ascii="Times New Roman" w:hAnsi="Times New Roman" w:eastAsia="Times New Roman"/>
          <w:b/>
          <w:i w:val="0"/>
          <w:sz w:val="28"/>
        </w:rPr>
        <w:t>Пелагея</w:t>
      </w:r>
      <w:r>
        <w:rPr>
          <w:rFonts w:ascii="Times New Roman" w:hAnsi="Times New Roman" w:eastAsia="Times New Roman"/>
          <w:b w:val="0"/>
          <w:i w:val="0"/>
          <w:sz w:val="28"/>
        </w:rPr>
        <w:t>. Обоснование строится исключительно на деловых данных: в описании она обозначена как средний работник с наименьшим стажем (2 года) и без подтверждённых специализированных квалификаций; у Марии при поведенческих замечаниях есть профессиональная подготовка и 8-летний опыт, а Дмитрий и Николай прямо охарактеризованы как хорошие работники.</w:t>
      </w:r>
    </w:p>
    <w:p>
      <w:pPr>
        <w:spacing w:line="360" w:lineRule="auto" w:before="0" w:after="80"/>
        <w:ind w:firstLine="709"/>
        <w:jc w:val="both"/>
      </w:pPr>
      <w:r>
        <w:rPr>
          <w:rFonts w:ascii="Times New Roman" w:hAnsi="Times New Roman" w:eastAsia="Times New Roman"/>
          <w:b w:val="0"/>
          <w:i w:val="0"/>
          <w:sz w:val="28"/>
        </w:rPr>
        <w:t xml:space="preserve">Эта рекомендация </w:t>
      </w:r>
      <w:r>
        <w:rPr>
          <w:rFonts w:ascii="Times New Roman" w:hAnsi="Times New Roman" w:eastAsia="Times New Roman"/>
          <w:b/>
          <w:i w:val="0"/>
          <w:sz w:val="28"/>
        </w:rPr>
        <w:t>условна</w:t>
      </w:r>
      <w:r>
        <w:rPr>
          <w:rFonts w:ascii="Times New Roman" w:hAnsi="Times New Roman" w:eastAsia="Times New Roman"/>
          <w:b w:val="0"/>
          <w:i w:val="0"/>
          <w:sz w:val="28"/>
        </w:rPr>
        <w:t>. Она не основана на отсутствии у Пелагеи иждивенцев или на пожелании её дяди, чтобы она училась бизнесу; такие факторы нельзя использовать как наказание или удобный предлог. Если документированные показатели производительности, квалификации или юридические гарантии дадут другую картину, решение должно быть пересмотрено. В частности, нельзя принимать решение только по таблице без проверки вакансий, требований закона, уведомлений и возможности перевода.</w:t>
      </w:r>
    </w:p>
    <w:p>
      <w:pPr>
        <w:keepNext/>
        <w:spacing w:before="160" w:after="120"/>
        <w:ind w:firstLine="0"/>
        <w:jc w:val="left"/>
      </w:pPr>
      <w:r>
        <w:rPr>
          <w:rFonts w:ascii="Times New Roman" w:hAnsi="Times New Roman" w:eastAsia="Times New Roman"/>
          <w:b/>
          <w:sz w:val="26"/>
        </w:rPr>
        <w:t>6.6. Этап 9: план действий и контроль</w:t>
      </w:r>
    </w:p>
    <w:tbl>
      <w:tblPr>
        <w:tblStyle w:val="TableGrid"/>
        <w:tblW w:type="auto" w:w="0"/>
        <w:jc w:val="center"/>
        <w:tblLayout w:type="autofit"/>
        <w:tblLook w:firstColumn="1" w:firstRow="1" w:lastColumn="0" w:lastRow="0" w:noHBand="0" w:noVBand="1" w:val="04A0"/>
        <w:tblLayout w:type="autofit"/>
      </w:tblPr>
      <w:tblGrid>
        <w:gridCol w:w="614"/>
        <w:gridCol w:w="4147"/>
        <w:gridCol w:w="1255"/>
        <w:gridCol w:w="3339"/>
      </w:tblGrid>
      <w:tr>
        <w:trPr>
          <w:cantSplit/>
          <w:tblHeader w:val="true"/>
        </w:trPr>
        <w:tc>
          <w:tcPr>
            <w:tcW w:type="dxa" w:w="614"/>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Последовательность</w:t>
            </w:r>
          </w:p>
        </w:tc>
        <w:tc>
          <w:tcPr>
            <w:tcW w:type="dxa" w:w="4147"/>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Действие</w:t>
            </w:r>
          </w:p>
        </w:tc>
        <w:tc>
          <w:tcPr>
            <w:tcW w:type="dxa" w:w="1255"/>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Ответственный</w:t>
            </w:r>
          </w:p>
        </w:tc>
        <w:tc>
          <w:tcPr>
            <w:tcW w:type="dxa" w:w="3339"/>
            <w:vAlign w:val="center"/>
            <w:tcMar>
              <w:top w:w="80" w:type="dxa"/>
              <w:start w:w="80" w:type="dxa"/>
              <w:bottom w:w="80" w:type="dxa"/>
              <w:end w:w="80" w:type="dxa"/>
            </w:tcMar>
            <w:shd w:fill="D9EAF7"/>
          </w:tcPr>
          <w:p>
            <w:pPr>
              <w:spacing w:line="240" w:lineRule="auto" w:before="0" w:after="0"/>
              <w:ind w:firstLine="0"/>
            </w:pPr>
            <w:r>
              <w:rPr>
                <w:rFonts w:ascii="Times New Roman" w:hAnsi="Times New Roman" w:eastAsia="Times New Roman"/>
                <w:b/>
                <w:i w:val="0"/>
                <w:sz w:val="20"/>
              </w:rPr>
              <w:t>Результат / контроль</w:t>
            </w:r>
          </w:p>
        </w:tc>
      </w:tr>
      <w:tr>
        <w:trPr>
          <w:cantSplit/>
        </w:trPr>
        <w:tc>
          <w:tcPr>
            <w:tcW w:type="dxa" w:w="61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1</w:t>
            </w:r>
          </w:p>
        </w:tc>
        <w:tc>
          <w:tcPr>
            <w:tcW w:type="dxa" w:w="414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Рассчитать точную сумму и срок сокращения ФЗП, проверить бюджетные альтернативы</w:t>
            </w:r>
          </w:p>
        </w:tc>
        <w:tc>
          <w:tcPr>
            <w:tcW w:type="dxa" w:w="1255"/>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Руководитель и экономист</w:t>
            </w:r>
          </w:p>
        </w:tc>
        <w:tc>
          <w:tcPr>
            <w:tcW w:type="dxa" w:w="333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Подтверждённый дефицит, а не общее требование «сократить одного»</w:t>
            </w:r>
          </w:p>
        </w:tc>
      </w:tr>
      <w:tr>
        <w:trPr>
          <w:cantSplit/>
        </w:trPr>
        <w:tc>
          <w:tcPr>
            <w:tcW w:type="dxa" w:w="61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2</w:t>
            </w:r>
          </w:p>
        </w:tc>
        <w:tc>
          <w:tcPr>
            <w:tcW w:type="dxa" w:w="414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Проверить вакансии, возможность перевода, переобучения, естественную убыль, добровольные меры и режимы работы</w:t>
            </w:r>
          </w:p>
        </w:tc>
        <w:tc>
          <w:tcPr>
            <w:tcW w:type="dxa" w:w="1255"/>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HR и руководитель</w:t>
            </w:r>
          </w:p>
        </w:tc>
        <w:tc>
          <w:tcPr>
            <w:tcW w:type="dxa" w:w="333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Перечень реально доступных альтернатив и их эффект</w:t>
            </w:r>
          </w:p>
        </w:tc>
      </w:tr>
      <w:tr>
        <w:trPr>
          <w:cantSplit/>
        </w:trPr>
        <w:tc>
          <w:tcPr>
            <w:tcW w:type="dxa" w:w="61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3</w:t>
            </w:r>
          </w:p>
        </w:tc>
        <w:tc>
          <w:tcPr>
            <w:tcW w:type="dxa" w:w="414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Установить единую шкалу деловых критериев; собрать документы за одинаковый период</w:t>
            </w:r>
          </w:p>
        </w:tc>
        <w:tc>
          <w:tcPr>
            <w:tcW w:type="dxa" w:w="1255"/>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Руководитель, HR</w:t>
            </w:r>
          </w:p>
        </w:tc>
        <w:tc>
          <w:tcPr>
            <w:tcW w:type="dxa" w:w="333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Сопоставимая матрица без личных и дискриминационных оснований</w:t>
            </w:r>
          </w:p>
        </w:tc>
      </w:tr>
      <w:tr>
        <w:trPr>
          <w:cantSplit/>
        </w:trPr>
        <w:tc>
          <w:tcPr>
            <w:tcW w:type="dxa" w:w="61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4</w:t>
            </w:r>
          </w:p>
        </w:tc>
        <w:tc>
          <w:tcPr>
            <w:tcW w:type="dxa" w:w="414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Проверить гарантии, преимущественное право, коллективный договор и корректность процедуры</w:t>
            </w:r>
          </w:p>
        </w:tc>
        <w:tc>
          <w:tcPr>
            <w:tcW w:type="dxa" w:w="1255"/>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HR и юрист</w:t>
            </w:r>
          </w:p>
        </w:tc>
        <w:tc>
          <w:tcPr>
            <w:tcW w:type="dxa" w:w="333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Письменное заключение о допустимости решения</w:t>
            </w:r>
          </w:p>
        </w:tc>
      </w:tr>
      <w:tr>
        <w:trPr>
          <w:cantSplit/>
        </w:trPr>
        <w:tc>
          <w:tcPr>
            <w:tcW w:type="dxa" w:w="61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5</w:t>
            </w:r>
          </w:p>
        </w:tc>
        <w:tc>
          <w:tcPr>
            <w:tcW w:type="dxa" w:w="414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Принять решение, предложить подходящие вакансии и меры поддержки; объяснить логику без разглашения чужих персональных данных</w:t>
            </w:r>
          </w:p>
        </w:tc>
        <w:tc>
          <w:tcPr>
            <w:tcW w:type="dxa" w:w="1255"/>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Руководитель и HR</w:t>
            </w:r>
          </w:p>
        </w:tc>
        <w:tc>
          <w:tcPr>
            <w:tcW w:type="dxa" w:w="333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Уведомления и предложения оформлены; уважительное взаимодействие сохранено</w:t>
            </w:r>
          </w:p>
        </w:tc>
      </w:tr>
      <w:tr>
        <w:trPr>
          <w:cantSplit/>
        </w:trPr>
        <w:tc>
          <w:tcPr>
            <w:tcW w:type="dxa" w:w="614"/>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6</w:t>
            </w:r>
          </w:p>
        </w:tc>
        <w:tc>
          <w:tcPr>
            <w:tcW w:type="dxa" w:w="4147"/>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После изменения состава оценить нагрузку оставшихся работников</w:t>
            </w:r>
          </w:p>
        </w:tc>
        <w:tc>
          <w:tcPr>
            <w:tcW w:type="dxa" w:w="1255"/>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Руководитель линии</w:t>
            </w:r>
          </w:p>
        </w:tc>
        <w:tc>
          <w:tcPr>
            <w:tcW w:type="dxa" w:w="3339"/>
            <w:vAlign w:val="center"/>
            <w:tcMar>
              <w:top w:w="80" w:type="dxa"/>
              <w:start w:w="80" w:type="dxa"/>
              <w:bottom w:w="80" w:type="dxa"/>
              <w:end w:w="80" w:type="dxa"/>
            </w:tcMar>
          </w:tcPr>
          <w:p>
            <w:pPr>
              <w:spacing w:line="240" w:lineRule="auto" w:before="0" w:after="0"/>
              <w:ind w:firstLine="0"/>
            </w:pPr>
            <w:r>
              <w:rPr>
                <w:rFonts w:ascii="Times New Roman" w:hAnsi="Times New Roman" w:eastAsia="Times New Roman"/>
                <w:b w:val="0"/>
                <w:i w:val="0"/>
                <w:sz w:val="20"/>
              </w:rPr>
              <w:t>Качество, выработка, сверхурочные, безопасность и климат не ухудшились сверх допустимого уровня</w:t>
            </w:r>
          </w:p>
        </w:tc>
      </w:tr>
    </w:tbl>
    <w:p>
      <w:pPr>
        <w:spacing w:line="240" w:lineRule="auto" w:before="0" w:after="0"/>
      </w:pPr>
    </w:p>
    <w:p>
      <w:pPr>
        <w:keepNext/>
        <w:spacing w:before="240" w:after="120"/>
        <w:ind w:firstLine="0"/>
        <w:jc w:val="left"/>
      </w:pPr>
      <w:r>
        <w:rPr>
          <w:rFonts w:ascii="Times New Roman" w:hAnsi="Times New Roman" w:eastAsia="Times New Roman"/>
          <w:b/>
          <w:sz w:val="28"/>
          <w:color w:val="1F4E79"/>
        </w:rPr>
        <w:t>7. Результаты анализа</w:t>
      </w:r>
    </w:p>
    <w:p>
      <w:pPr>
        <w:spacing w:line="360" w:lineRule="auto" w:before="0" w:after="80"/>
        <w:ind w:left="709" w:hanging="369"/>
        <w:jc w:val="both"/>
      </w:pPr>
      <w:r>
        <w:rPr>
          <w:rFonts w:ascii="Times New Roman" w:hAnsi="Times New Roman" w:eastAsia="Times New Roman"/>
          <w:b w:val="0"/>
          <w:i w:val="0"/>
          <w:sz w:val="28"/>
        </w:rPr>
        <w:t>1. Для ситуации 1 рекомендована стратегия конкуренции с Linux через продуктовую ценность, поддержку, совместимость и сегментирование, а не игнорирование угрозы, односторонний ценовой демпинг или административные барьеры.</w:t>
      </w:r>
    </w:p>
    <w:p>
      <w:pPr>
        <w:spacing w:line="360" w:lineRule="auto" w:before="0" w:after="80"/>
        <w:ind w:left="709" w:hanging="369"/>
        <w:jc w:val="both"/>
      </w:pPr>
      <w:r>
        <w:rPr>
          <w:rFonts w:ascii="Times New Roman" w:hAnsi="Times New Roman" w:eastAsia="Times New Roman"/>
          <w:b w:val="0"/>
          <w:i w:val="0"/>
          <w:sz w:val="28"/>
        </w:rPr>
        <w:t>2. В ситуации 2 просьба механика о помощнике трактуется как сигнал для диагностики, а не как повод отказать либо немедленно увеличить штат. Выбрана организация потока работ, полномочий и профилактики с проверкой реальной нагрузки. Если нагрузка останется небезопасной, ресурсное решение обязательно.</w:t>
      </w:r>
    </w:p>
    <w:p>
      <w:pPr>
        <w:spacing w:line="360" w:lineRule="auto" w:before="0" w:after="80"/>
        <w:ind w:left="709" w:hanging="369"/>
        <w:jc w:val="both"/>
      </w:pPr>
      <w:r>
        <w:rPr>
          <w:rFonts w:ascii="Times New Roman" w:hAnsi="Times New Roman" w:eastAsia="Times New Roman"/>
          <w:b w:val="0"/>
          <w:i w:val="0"/>
          <w:sz w:val="28"/>
        </w:rPr>
        <w:t>3. В ситуации 3 не рекомендовано выбирать работника по семейному положению, здоровью или личным планам. Предложена последовательность: проверить способы сократить ФЗП без увольнения → сравнить объективные деловые качества → соблюсти гарантии и процедуру → предложить перевод и поддержку.</w:t>
      </w:r>
    </w:p>
    <w:p>
      <w:pPr>
        <w:spacing w:line="360" w:lineRule="auto" w:before="0" w:after="80"/>
        <w:ind w:left="709" w:hanging="369"/>
        <w:jc w:val="both"/>
      </w:pPr>
      <w:r>
        <w:rPr>
          <w:rFonts w:ascii="Times New Roman" w:hAnsi="Times New Roman" w:eastAsia="Times New Roman"/>
          <w:b w:val="0"/>
          <w:i w:val="0"/>
          <w:sz w:val="28"/>
        </w:rPr>
        <w:t>4. Предварительным кандидатом на высвобождение в данных кейса является Пелагея, но только после документальной оценки и правовой проверки. Главным основанием служит сочетание средней оценки работы, меньшего стажа и отсутствия подтверждённой специальной подготовки, а не личные обстоятельства.</w:t>
      </w:r>
    </w:p>
    <w:p>
      <w:pPr>
        <w:spacing w:line="360" w:lineRule="auto" w:before="0" w:after="80"/>
        <w:ind w:left="709" w:hanging="369"/>
        <w:jc w:val="both"/>
      </w:pPr>
      <w:r>
        <w:rPr>
          <w:rFonts w:ascii="Times New Roman" w:hAnsi="Times New Roman" w:eastAsia="Times New Roman"/>
          <w:b w:val="0"/>
          <w:i w:val="0"/>
          <w:sz w:val="28"/>
        </w:rPr>
        <w:t>5. Во всех трёх кейсах решение связано с планом контроля. Без проверки результата даже логичная рекомендация остаётся предположением.</w:t>
      </w:r>
    </w:p>
    <w:p>
      <w:pPr>
        <w:keepNext/>
        <w:spacing w:before="240" w:after="120"/>
        <w:ind w:firstLine="0"/>
        <w:jc w:val="left"/>
      </w:pPr>
      <w:r>
        <w:rPr>
          <w:rFonts w:ascii="Times New Roman" w:hAnsi="Times New Roman" w:eastAsia="Times New Roman"/>
          <w:b/>
          <w:sz w:val="28"/>
          <w:color w:val="1F4E79"/>
        </w:rPr>
        <w:t>8. Выводы и комментарии</w:t>
      </w:r>
    </w:p>
    <w:p>
      <w:pPr>
        <w:spacing w:line="360" w:lineRule="auto" w:before="0" w:after="80"/>
        <w:ind w:left="709" w:hanging="369"/>
        <w:jc w:val="both"/>
      </w:pPr>
      <w:r>
        <w:rPr>
          <w:rFonts w:ascii="Times New Roman" w:hAnsi="Times New Roman" w:eastAsia="Times New Roman"/>
          <w:b w:val="0"/>
          <w:i w:val="0"/>
          <w:sz w:val="28"/>
        </w:rPr>
        <w:t>1. Пошаговый анализ защищает руководителя от двух типичных ошибок: принять решение по первому впечатлению и выдать предположение за установленный факт.</w:t>
      </w:r>
    </w:p>
    <w:p>
      <w:pPr>
        <w:spacing w:line="360" w:lineRule="auto" w:before="0" w:after="80"/>
        <w:ind w:left="709" w:hanging="369"/>
        <w:jc w:val="both"/>
      </w:pPr>
      <w:r>
        <w:rPr>
          <w:rFonts w:ascii="Times New Roman" w:hAnsi="Times New Roman" w:eastAsia="Times New Roman"/>
          <w:b w:val="0"/>
          <w:i w:val="0"/>
          <w:sz w:val="28"/>
        </w:rPr>
        <w:t>2. В кейсе о Linux ключевой вывод - конкурента необходимо понимать через ценность для клиента и устройство экосистемы; одинаковая мера для всех сегментов рынка неэффективна.</w:t>
      </w:r>
    </w:p>
    <w:p>
      <w:pPr>
        <w:spacing w:line="360" w:lineRule="auto" w:before="0" w:after="80"/>
        <w:ind w:left="709" w:hanging="369"/>
        <w:jc w:val="both"/>
      </w:pPr>
      <w:r>
        <w:rPr>
          <w:rFonts w:ascii="Times New Roman" w:hAnsi="Times New Roman" w:eastAsia="Times New Roman"/>
          <w:b w:val="0"/>
          <w:i w:val="0"/>
          <w:sz w:val="28"/>
        </w:rPr>
        <w:t>3. В кейсе о механике конфликт нельзя сводить к «плохому отношению к работе». Жалоба может быть источником информации о реальной перегрузке, небезопасной организации труда или потере уважения; решение должно проверить все гипотезы.</w:t>
      </w:r>
    </w:p>
    <w:p>
      <w:pPr>
        <w:spacing w:line="360" w:lineRule="auto" w:before="0" w:after="80"/>
        <w:ind w:left="709" w:hanging="369"/>
        <w:jc w:val="both"/>
      </w:pPr>
      <w:r>
        <w:rPr>
          <w:rFonts w:ascii="Times New Roman" w:hAnsi="Times New Roman" w:eastAsia="Times New Roman"/>
          <w:b w:val="0"/>
          <w:i w:val="0"/>
          <w:sz w:val="28"/>
        </w:rPr>
        <w:t>4. В кейсе о сокращении ФЗП экономическая необходимость не отменяет обязанности использовать объективные деловые критерии и соблюдать правовые гарантии. Увольнение - не инструмент наказания и не способ выбрать «наименее удобного» человека.</w:t>
      </w:r>
    </w:p>
    <w:p>
      <w:pPr>
        <w:spacing w:line="360" w:lineRule="auto" w:before="0" w:after="80"/>
        <w:ind w:left="709" w:hanging="369"/>
        <w:jc w:val="both"/>
      </w:pPr>
      <w:r>
        <w:rPr>
          <w:rFonts w:ascii="Times New Roman" w:hAnsi="Times New Roman" w:eastAsia="Times New Roman"/>
          <w:b w:val="0"/>
          <w:i w:val="0"/>
          <w:sz w:val="28"/>
        </w:rPr>
        <w:t>5. Эффективность решения определяется не скоростью объявления приказа, а достижением цели с приемлемыми затратами, рисками, качеством и сохранением способности организации работать после изменения.</w:t>
      </w:r>
    </w:p>
    <w:p>
      <w:pPr>
        <w:spacing w:line="240" w:lineRule="auto" w:before="0" w:after="0"/>
      </w:pPr>
      <w:r>
        <w:br w:type="page"/>
      </w:r>
    </w:p>
    <w:p>
      <w:pPr>
        <w:keepNext/>
        <w:spacing w:before="240" w:after="120"/>
        <w:ind w:firstLine="0"/>
        <w:jc w:val="left"/>
      </w:pPr>
      <w:r>
        <w:rPr>
          <w:rFonts w:ascii="Times New Roman" w:hAnsi="Times New Roman" w:eastAsia="Times New Roman"/>
          <w:b/>
          <w:sz w:val="28"/>
          <w:color w:val="1F4E79"/>
        </w:rPr>
        <w:t>9. Список использованных источников</w:t>
      </w:r>
    </w:p>
    <w:p>
      <w:pPr>
        <w:spacing w:line="360" w:lineRule="auto" w:before="0" w:after="80"/>
        <w:ind w:left="709" w:hanging="369"/>
        <w:jc w:val="both"/>
      </w:pPr>
      <w:r>
        <w:rPr>
          <w:rFonts w:ascii="Times New Roman" w:hAnsi="Times New Roman" w:eastAsia="Times New Roman"/>
          <w:b w:val="0"/>
          <w:i w:val="0"/>
          <w:sz w:val="28"/>
        </w:rPr>
        <w:t>1. Лукичёва Л. И. Управление организацией: учебное пособие по специальности «Менеджмент организации» / Л. И. Лукичёва; под ред. Ю. П. Анискина. - 3-е изд., стер. - М.: Омега-Л, 2006. - 360 с. - ISBN 5-98119-986-5. - С. 156–157, 184–185.</w:t>
      </w:r>
    </w:p>
    <w:p>
      <w:pPr>
        <w:spacing w:line="360" w:lineRule="auto" w:before="0" w:after="80"/>
        <w:ind w:left="709" w:hanging="369"/>
        <w:jc w:val="both"/>
      </w:pPr>
      <w:r>
        <w:rPr>
          <w:rFonts w:ascii="Times New Roman" w:hAnsi="Times New Roman" w:eastAsia="Times New Roman"/>
          <w:b w:val="0"/>
          <w:i w:val="0"/>
          <w:sz w:val="28"/>
        </w:rPr>
        <w:t>2. Трудовой кодекс Российской Федерации: Федеральный закон от 30.12.2001 № 197-ФЗ. - Для конкретного решения применяется актуальная редакция, коллективный договор и локальные нормативные акты работодателя.</w:t>
      </w:r>
    </w:p>
    <w:p>
      <w:pPr>
        <w:spacing w:line="240" w:lineRule="auto" w:before="0" w:after="0"/>
      </w:pPr>
      <w:r>
        <w:br w:type="page"/>
      </w:r>
    </w:p>
    <w:p>
      <w:pPr>
        <w:keepNext/>
        <w:spacing w:before="240" w:after="120"/>
        <w:ind w:firstLine="0"/>
        <w:jc w:val="left"/>
      </w:pPr>
      <w:r>
        <w:rPr>
          <w:rFonts w:ascii="Times New Roman" w:hAnsi="Times New Roman" w:eastAsia="Times New Roman"/>
          <w:b/>
          <w:sz w:val="28"/>
          <w:color w:val="1F4E79"/>
        </w:rPr>
        <w:t>Приложение А. Термины для защиты</w:t>
      </w:r>
    </w:p>
    <w:p>
      <w:pPr>
        <w:spacing w:line="360" w:lineRule="auto" w:before="0" w:after="80"/>
        <w:ind w:firstLine="709"/>
        <w:jc w:val="both"/>
      </w:pPr>
      <w:r>
        <w:rPr>
          <w:rFonts w:ascii="Times New Roman" w:hAnsi="Times New Roman" w:eastAsia="Times New Roman"/>
          <w:b/>
          <w:i w:val="0"/>
          <w:sz w:val="28"/>
        </w:rPr>
        <w:t>Кейс</w:t>
      </w:r>
      <w:r>
        <w:rPr>
          <w:rFonts w:ascii="Times New Roman" w:hAnsi="Times New Roman" w:eastAsia="Times New Roman"/>
          <w:b w:val="0"/>
          <w:i w:val="0"/>
          <w:sz w:val="28"/>
        </w:rPr>
        <w:t xml:space="preserve"> - структурированное описание реальной или учебной управленческой ситуации, в которой требуется принять решение.</w:t>
      </w:r>
    </w:p>
    <w:p>
      <w:pPr>
        <w:spacing w:line="360" w:lineRule="auto" w:before="0" w:after="80"/>
        <w:ind w:firstLine="709"/>
        <w:jc w:val="both"/>
      </w:pPr>
      <w:r>
        <w:rPr>
          <w:rFonts w:ascii="Times New Roman" w:hAnsi="Times New Roman" w:eastAsia="Times New Roman"/>
          <w:b/>
          <w:i w:val="0"/>
          <w:sz w:val="28"/>
        </w:rPr>
        <w:t>Анализ</w:t>
      </w:r>
      <w:r>
        <w:rPr>
          <w:rFonts w:ascii="Times New Roman" w:hAnsi="Times New Roman" w:eastAsia="Times New Roman"/>
          <w:b w:val="0"/>
          <w:i w:val="0"/>
          <w:sz w:val="28"/>
        </w:rPr>
        <w:t xml:space="preserve"> - последовательное разложение ситуации на существенные элементы, связи, причины, последствия и варианты действий для получения обоснованного вывода.</w:t>
      </w:r>
    </w:p>
    <w:p>
      <w:pPr>
        <w:spacing w:line="360" w:lineRule="auto" w:before="0" w:after="80"/>
        <w:ind w:firstLine="709"/>
        <w:jc w:val="both"/>
      </w:pPr>
      <w:r>
        <w:rPr>
          <w:rFonts w:ascii="Times New Roman" w:hAnsi="Times New Roman" w:eastAsia="Times New Roman"/>
          <w:b/>
          <w:i w:val="0"/>
          <w:sz w:val="28"/>
        </w:rPr>
        <w:t>Конкурент</w:t>
      </w:r>
      <w:r>
        <w:rPr>
          <w:rFonts w:ascii="Times New Roman" w:hAnsi="Times New Roman" w:eastAsia="Times New Roman"/>
          <w:b w:val="0"/>
          <w:i w:val="0"/>
          <w:sz w:val="28"/>
        </w:rPr>
        <w:t xml:space="preserve"> - организация, продукт, технология или иной субъект, предлагающий потребителю альтернативную ценность и претендующий на те же ресурсы, клиентов или рынок.</w:t>
      </w:r>
    </w:p>
    <w:p>
      <w:pPr>
        <w:spacing w:line="360" w:lineRule="auto" w:before="0" w:after="80"/>
        <w:ind w:firstLine="709"/>
        <w:jc w:val="both"/>
      </w:pPr>
      <w:r>
        <w:rPr>
          <w:rFonts w:ascii="Times New Roman" w:hAnsi="Times New Roman" w:eastAsia="Times New Roman"/>
          <w:b/>
          <w:i w:val="0"/>
          <w:sz w:val="28"/>
        </w:rPr>
        <w:t>Квалификация</w:t>
      </w:r>
      <w:r>
        <w:rPr>
          <w:rFonts w:ascii="Times New Roman" w:hAnsi="Times New Roman" w:eastAsia="Times New Roman"/>
          <w:b w:val="0"/>
          <w:i w:val="0"/>
          <w:sz w:val="28"/>
        </w:rPr>
        <w:t xml:space="preserve"> - уровень профессиональных знаний, умений, опыта, допусков и компетенций, необходимых для выполнения трудовой функции.</w:t>
      </w:r>
    </w:p>
    <w:p>
      <w:pPr>
        <w:spacing w:line="360" w:lineRule="auto" w:before="0" w:after="80"/>
        <w:ind w:firstLine="709"/>
        <w:jc w:val="both"/>
      </w:pPr>
      <w:r>
        <w:rPr>
          <w:rFonts w:ascii="Times New Roman" w:hAnsi="Times New Roman" w:eastAsia="Times New Roman"/>
          <w:b/>
          <w:i w:val="0"/>
          <w:sz w:val="28"/>
        </w:rPr>
        <w:t>Оппонент</w:t>
      </w:r>
      <w:r>
        <w:rPr>
          <w:rFonts w:ascii="Times New Roman" w:hAnsi="Times New Roman" w:eastAsia="Times New Roman"/>
          <w:b w:val="0"/>
          <w:i w:val="0"/>
          <w:sz w:val="28"/>
        </w:rPr>
        <w:t xml:space="preserve"> - сторона, чьи позиции, интересы или предлагаемые способы действия не совпадают с позицией другой стороны; оппонент не обязательно является врагом.</w:t>
      </w:r>
    </w:p>
    <w:p>
      <w:pPr>
        <w:spacing w:line="360" w:lineRule="auto" w:before="0" w:after="80"/>
        <w:ind w:firstLine="709"/>
        <w:jc w:val="both"/>
      </w:pPr>
      <w:r>
        <w:rPr>
          <w:rFonts w:ascii="Times New Roman" w:hAnsi="Times New Roman" w:eastAsia="Times New Roman"/>
          <w:b/>
          <w:i w:val="0"/>
          <w:sz w:val="28"/>
        </w:rPr>
        <w:t>Критерий</w:t>
      </w:r>
      <w:r>
        <w:rPr>
          <w:rFonts w:ascii="Times New Roman" w:hAnsi="Times New Roman" w:eastAsia="Times New Roman"/>
          <w:b w:val="0"/>
          <w:i w:val="0"/>
          <w:sz w:val="28"/>
        </w:rPr>
        <w:t xml:space="preserve"> - правило, признак или измеримый показатель, по которому сопоставляют альтернативы и обосновывают выбор.</w:t>
      </w:r>
    </w:p>
    <w:p>
      <w:pPr>
        <w:spacing w:line="360" w:lineRule="auto" w:before="0" w:after="80"/>
        <w:ind w:firstLine="709"/>
        <w:jc w:val="both"/>
      </w:pPr>
      <w:r>
        <w:rPr>
          <w:rFonts w:ascii="Times New Roman" w:hAnsi="Times New Roman" w:eastAsia="Times New Roman"/>
          <w:b/>
          <w:i w:val="0"/>
          <w:sz w:val="28"/>
        </w:rPr>
        <w:t>Конфликт</w:t>
      </w:r>
      <w:r>
        <w:rPr>
          <w:rFonts w:ascii="Times New Roman" w:hAnsi="Times New Roman" w:eastAsia="Times New Roman"/>
          <w:b w:val="0"/>
          <w:i w:val="0"/>
          <w:sz w:val="28"/>
        </w:rPr>
        <w:t xml:space="preserve"> - столкновение несовместимых или воспринимаемых как несовместимые целей, интересов, ценностей либо способов действия участников.</w:t>
      </w:r>
    </w:p>
    <w:p>
      <w:pPr>
        <w:spacing w:line="360" w:lineRule="auto" w:before="0" w:after="80"/>
        <w:ind w:firstLine="709"/>
        <w:jc w:val="both"/>
      </w:pPr>
      <w:r>
        <w:rPr>
          <w:rFonts w:ascii="Times New Roman" w:hAnsi="Times New Roman" w:eastAsia="Times New Roman"/>
          <w:b/>
          <w:i w:val="0"/>
          <w:sz w:val="28"/>
        </w:rPr>
        <w:t>Альтернатива</w:t>
      </w:r>
      <w:r>
        <w:rPr>
          <w:rFonts w:ascii="Times New Roman" w:hAnsi="Times New Roman" w:eastAsia="Times New Roman"/>
          <w:b w:val="0"/>
          <w:i w:val="0"/>
          <w:sz w:val="28"/>
        </w:rPr>
        <w:t xml:space="preserve"> - один из реально возможных вариантов действия, сопоставляемых для последующего выбора.</w:t>
      </w:r>
    </w:p>
    <w:p>
      <w:pPr>
        <w:spacing w:line="360" w:lineRule="auto" w:before="0" w:after="80"/>
        <w:ind w:firstLine="709"/>
        <w:jc w:val="both"/>
      </w:pPr>
      <w:r>
        <w:rPr>
          <w:rFonts w:ascii="Times New Roman" w:hAnsi="Times New Roman" w:eastAsia="Times New Roman"/>
          <w:b/>
          <w:i w:val="0"/>
          <w:sz w:val="28"/>
        </w:rPr>
        <w:t>Цель</w:t>
      </w:r>
      <w:r>
        <w:rPr>
          <w:rFonts w:ascii="Times New Roman" w:hAnsi="Times New Roman" w:eastAsia="Times New Roman"/>
          <w:b w:val="0"/>
          <w:i w:val="0"/>
          <w:sz w:val="28"/>
        </w:rPr>
        <w:t xml:space="preserve"> - желаемый результат или состояние, на достижение которого направлено управление.</w:t>
      </w:r>
    </w:p>
    <w:p>
      <w:pPr>
        <w:spacing w:line="360" w:lineRule="auto" w:before="0" w:after="80"/>
        <w:ind w:firstLine="709"/>
        <w:jc w:val="both"/>
      </w:pPr>
      <w:r>
        <w:rPr>
          <w:rFonts w:ascii="Times New Roman" w:hAnsi="Times New Roman" w:eastAsia="Times New Roman"/>
          <w:b/>
          <w:i w:val="0"/>
          <w:sz w:val="28"/>
        </w:rPr>
        <w:t>Проблема</w:t>
      </w:r>
      <w:r>
        <w:rPr>
          <w:rFonts w:ascii="Times New Roman" w:hAnsi="Times New Roman" w:eastAsia="Times New Roman"/>
          <w:b w:val="0"/>
          <w:i w:val="0"/>
          <w:sz w:val="28"/>
        </w:rPr>
        <w:t xml:space="preserve"> - существенный разрыв между текущим и желаемым состоянием, который требует решения.</w:t>
      </w:r>
    </w:p>
    <w:p>
      <w:pPr>
        <w:spacing w:line="360" w:lineRule="auto" w:before="0" w:after="80"/>
        <w:ind w:firstLine="709"/>
        <w:jc w:val="both"/>
      </w:pPr>
      <w:r>
        <w:rPr>
          <w:rFonts w:ascii="Times New Roman" w:hAnsi="Times New Roman" w:eastAsia="Times New Roman"/>
          <w:b/>
          <w:i w:val="0"/>
          <w:sz w:val="28"/>
        </w:rPr>
        <w:t>Задача</w:t>
      </w:r>
      <w:r>
        <w:rPr>
          <w:rFonts w:ascii="Times New Roman" w:hAnsi="Times New Roman" w:eastAsia="Times New Roman"/>
          <w:b w:val="0"/>
          <w:i w:val="0"/>
          <w:sz w:val="28"/>
        </w:rPr>
        <w:t xml:space="preserve"> - конкретизированная часть работы, ограниченная результатом, сроком, ресурсами и ответственностью.</w:t>
      </w:r>
    </w:p>
    <w:p>
      <w:pPr>
        <w:spacing w:line="360" w:lineRule="auto" w:before="0" w:after="80"/>
        <w:ind w:firstLine="709"/>
        <w:jc w:val="both"/>
      </w:pPr>
      <w:r>
        <w:rPr>
          <w:rFonts w:ascii="Times New Roman" w:hAnsi="Times New Roman" w:eastAsia="Times New Roman"/>
          <w:b/>
          <w:i w:val="0"/>
          <w:sz w:val="28"/>
        </w:rPr>
        <w:t>Вариант</w:t>
      </w:r>
      <w:r>
        <w:rPr>
          <w:rFonts w:ascii="Times New Roman" w:hAnsi="Times New Roman" w:eastAsia="Times New Roman"/>
          <w:b w:val="0"/>
          <w:i w:val="0"/>
          <w:sz w:val="28"/>
        </w:rPr>
        <w:t xml:space="preserve"> - отдельная версия решения, последовательности действий или будущего развития; в анализе вариант должен отличаться последствиями от других версий.</w:t>
      </w:r>
    </w:p>
    <w:p>
      <w:pPr>
        <w:spacing w:line="360" w:lineRule="auto" w:before="0" w:after="80"/>
        <w:ind w:firstLine="709"/>
        <w:jc w:val="both"/>
      </w:pPr>
      <w:r>
        <w:rPr>
          <w:rFonts w:ascii="Times New Roman" w:hAnsi="Times New Roman" w:eastAsia="Times New Roman"/>
          <w:b/>
          <w:i w:val="0"/>
          <w:sz w:val="28"/>
        </w:rPr>
        <w:t>План</w:t>
      </w:r>
      <w:r>
        <w:rPr>
          <w:rFonts w:ascii="Times New Roman" w:hAnsi="Times New Roman" w:eastAsia="Times New Roman"/>
          <w:b w:val="0"/>
          <w:i w:val="0"/>
          <w:sz w:val="28"/>
        </w:rPr>
        <w:t xml:space="preserve"> - согласованная последовательность действий с результатами, сроками, ресурсами, ответственными и контрольными точками.</w:t>
      </w:r>
    </w:p>
    <w:p>
      <w:pPr>
        <w:spacing w:line="360" w:lineRule="auto" w:before="0" w:after="80"/>
        <w:ind w:firstLine="709"/>
        <w:jc w:val="both"/>
      </w:pPr>
      <w:r>
        <w:rPr>
          <w:rFonts w:ascii="Times New Roman" w:hAnsi="Times New Roman" w:eastAsia="Times New Roman"/>
          <w:b/>
          <w:i w:val="0"/>
          <w:sz w:val="28"/>
        </w:rPr>
        <w:t>Хронология</w:t>
      </w:r>
      <w:r>
        <w:rPr>
          <w:rFonts w:ascii="Times New Roman" w:hAnsi="Times New Roman" w:eastAsia="Times New Roman"/>
          <w:b w:val="0"/>
          <w:i w:val="0"/>
          <w:sz w:val="28"/>
        </w:rPr>
        <w:t xml:space="preserve"> - упорядоченное по времени изложение событий, позволяющее отделить причины от последствий.</w:t>
      </w:r>
    </w:p>
    <w:p>
      <w:pPr>
        <w:spacing w:line="360" w:lineRule="auto" w:before="0" w:after="80"/>
        <w:ind w:firstLine="709"/>
        <w:jc w:val="both"/>
      </w:pPr>
      <w:r>
        <w:rPr>
          <w:rFonts w:ascii="Times New Roman" w:hAnsi="Times New Roman" w:eastAsia="Times New Roman"/>
          <w:b/>
          <w:i w:val="0"/>
          <w:sz w:val="28"/>
        </w:rPr>
        <w:t>Эффективность</w:t>
      </w:r>
      <w:r>
        <w:rPr>
          <w:rFonts w:ascii="Times New Roman" w:hAnsi="Times New Roman" w:eastAsia="Times New Roman"/>
          <w:b w:val="0"/>
          <w:i w:val="0"/>
          <w:sz w:val="28"/>
        </w:rPr>
        <w:t xml:space="preserve"> - степень достижения цели в соотношении с использованными ресурсами, сроками, качеством, риском и побочными последствиями.</w:t>
      </w:r>
    </w:p>
    <w:p>
      <w:pPr>
        <w:spacing w:line="360" w:lineRule="auto" w:before="0" w:after="80"/>
        <w:ind w:firstLine="709"/>
        <w:jc w:val="both"/>
      </w:pPr>
      <w:r>
        <w:rPr>
          <w:rFonts w:ascii="Times New Roman" w:hAnsi="Times New Roman" w:eastAsia="Times New Roman"/>
          <w:b/>
          <w:i w:val="0"/>
          <w:sz w:val="28"/>
        </w:rPr>
        <w:t>Проблемная ситуация</w:t>
      </w:r>
      <w:r>
        <w:rPr>
          <w:rFonts w:ascii="Times New Roman" w:hAnsi="Times New Roman" w:eastAsia="Times New Roman"/>
          <w:b w:val="0"/>
          <w:i w:val="0"/>
          <w:sz w:val="28"/>
        </w:rPr>
        <w:t xml:space="preserve"> - совокупность обстоятельств, участников, ограничений и противоречий, из-за которых возникает проблема и требуется управленческое решение.</w:t>
      </w:r>
    </w:p>
    <w:p>
      <w:pPr>
        <w:spacing w:line="360" w:lineRule="auto" w:before="0" w:after="80"/>
        <w:ind w:firstLine="709"/>
        <w:jc w:val="both"/>
      </w:pPr>
      <w:r>
        <w:rPr>
          <w:rFonts w:ascii="Times New Roman" w:hAnsi="Times New Roman" w:eastAsia="Times New Roman"/>
          <w:b/>
          <w:i w:val="0"/>
          <w:sz w:val="28"/>
        </w:rPr>
        <w:t>Фонд заработной платы (ФЗП)</w:t>
      </w:r>
      <w:r>
        <w:rPr>
          <w:rFonts w:ascii="Times New Roman" w:hAnsi="Times New Roman" w:eastAsia="Times New Roman"/>
          <w:b w:val="0"/>
          <w:i w:val="0"/>
          <w:sz w:val="28"/>
        </w:rPr>
        <w:t xml:space="preserve"> - объём денежных средств, предусмотренных или фактически направляемых на оплату труда работников и связанные с ней выплаты за определённый период.</w:t>
      </w:r>
    </w:p>
    <w:sectPr w:rsidR="00FC693F" w:rsidRPr="0006063C" w:rsidSect="00034616">
      <w:footerReference w:type="default" r:id="rId9"/>
      <w:footerReference w:type="first" r:id="rId10"/>
      <w:footerReference w:type="even" r:id="rId11"/>
      <w:pgSz w:w="12240" w:h="15840"/>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Семинар № 8 — Принятие управленческих решений на основе пошагового разбора ситуаций</dc:title>
  <dc:subject>Принятие решений на основе анализа ситуаций</dc:subject>
  <dc:creator>Соловьев А. С.</dc:creator>
  <cp:keywords/>
  <dc:description>generated by python-docx</dc:description>
  <cp:lastModifiedBy/>
  <cp:revision>1</cp:revision>
  <dcterms:created xsi:type="dcterms:W3CDTF">2013-12-23T23:15:00Z</dcterms:created>
  <dcterms:modified xsi:type="dcterms:W3CDTF">2013-12-23T23:15:00Z</dcterms:modified>
  <cp:category/>
</cp:coreProperties>
</file>