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2"/>
        </w:rPr>
        <w:t>ОТЧЕТ ПО ЛАБОРАТОРНОЙ РАБОТЕ № 6</w:t>
        <w:br/>
      </w:r>
      <w:r>
        <w:rPr>
          <w:b/>
          <w:color w:val="1D4ED8"/>
          <w:sz w:val="26"/>
        </w:rPr>
        <w:t>«Работа с готовыми модулями и компонентами»</w:t>
        <w:br/>
      </w:r>
      <w:r>
        <w:rPr>
          <w:i/>
          <w:color w:val="475569"/>
          <w:sz w:val="21"/>
        </w:rPr>
        <w:t>Вариант № 15: Университет. Центр Аккредитации и независимой оценки качества (АНОК)</w:t>
        <w:br/>
      </w:r>
    </w:p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1. Введение и цели работы</w:t>
      </w:r>
    </w:p>
    <w:p>
      <w:r>
        <w:rPr>
          <w:b/>
        </w:rPr>
        <w:t xml:space="preserve">Цель лабораторной работы: </w:t>
      </w:r>
      <w:r>
        <w:t>Интеграция, конфигурирование и практическое применение готовых программных модулей, внешних библиотек и интерактивных компонентов в составе корпоративного веб-портала университета (Модуль Центра АНОК) для решения прикладных задач визуализации данных, экспортной генерации отчетов (PDF/Excel), криптографической верификации ЭЦП, визуального Diff-сравнения редакций УП, планирования дедлайнов и интерактивного взаимодействия пользователей.</w:t>
      </w:r>
    </w:p>
    <w:p>
      <w:pPr>
        <w:pStyle w:val="Heading1"/>
      </w:pPr>
      <w:r>
        <w:rPr>
          <w:color w:val="0F172A"/>
          <w:sz w:val="26"/>
        </w:rPr>
        <w:t>2. Архитектура интеграции готовых модулей и компонентов</w:t>
      </w:r>
    </w:p>
    <w:p>
      <w:r>
        <w:t>Интеграция сторонних библиотек и готовых модулей реализована по 5 функциональным уровням (UI/Styles, Data Visualization, Export &amp; Crypto, Interactive UX, Backend &amp; Data).</w:t>
      </w:r>
    </w:p>
    <w:p>
      <w:r>
        <w:drawing>
          <wp:inline xmlns:a="http://schemas.openxmlformats.org/drawingml/2006/main" xmlns:pic="http://schemas.openxmlformats.org/drawingml/2006/picture">
            <wp:extent cx="5943600" cy="3852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architecture_integ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Архитектура интеграции готовых модулей и библиотек в портал АНОК</w:t>
      </w:r>
    </w:p>
    <w:p>
      <w:r>
        <w:rPr>
          <w:b/>
        </w:rPr>
        <w:t>Таблица 1 — Перечень подключенных готовых модулей и библиотек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Уровень архитектуры</w:t>
            </w:r>
          </w:p>
        </w:tc>
        <w:tc>
          <w:tcPr>
            <w:tcW w:type="dxa" w:w="248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Подключенный модуль / Библиотека</w:t>
            </w:r>
          </w:p>
        </w:tc>
        <w:tc>
          <w:tcPr>
            <w:tcW w:type="dxa" w:w="248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Назначение в портале АНОК</w:t>
            </w:r>
          </w:p>
        </w:tc>
        <w:tc>
          <w:tcPr>
            <w:tcW w:type="dxa" w:w="248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Спецификация</w:t>
            </w:r>
          </w:p>
        </w:tc>
      </w:tr>
      <w:tr>
        <w:tc>
          <w:tcPr>
            <w:tcW w:type="dxa" w:w="2484"/>
            <w:shd w:fill="FFFFFF"/>
          </w:tcPr>
          <w:p>
            <w:pPr>
              <w:jc w:val="left"/>
            </w:pPr>
            <w:r>
              <w:rPr>
                <w:b/>
                <w:sz w:val="16"/>
              </w:rPr>
              <w:t>1. UI &amp; Styles</w:t>
            </w:r>
          </w:p>
        </w:tc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sz w:val="16"/>
              </w:rPr>
              <w:t>TailwindCSS v3.4 &amp; FontAwesome 6</w:t>
            </w:r>
          </w:p>
        </w:tc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sz w:val="16"/>
              </w:rPr>
              <w:t>Адаптивная сеточная верстка и иконки</w:t>
            </w:r>
          </w:p>
        </w:tc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sz w:val="16"/>
              </w:rPr>
              <w:t>CDN / OpenSource</w:t>
            </w:r>
          </w:p>
        </w:tc>
      </w:tr>
      <w:tr>
        <w:tc>
          <w:tcPr>
            <w:tcW w:type="dxa" w:w="2484"/>
            <w:shd w:fill="F8FAFC"/>
          </w:tcPr>
          <w:p>
            <w:pPr>
              <w:jc w:val="left"/>
            </w:pPr>
            <w:r>
              <w:rPr>
                <w:b/>
                <w:sz w:val="16"/>
              </w:rPr>
              <w:t>2. Visualization</w:t>
            </w:r>
          </w:p>
        </w:tc>
        <w:tc>
          <w:tcPr>
            <w:tcW w:type="dxa" w:w="2484"/>
            <w:shd w:fill="F8FAFC"/>
          </w:tcPr>
          <w:p>
            <w:pPr>
              <w:jc w:val="center"/>
            </w:pPr>
            <w:r>
              <w:rPr>
                <w:sz w:val="16"/>
              </w:rPr>
              <w:t>Chart.js v4.4 (Doughnut, Bar, Radar)</w:t>
            </w:r>
          </w:p>
        </w:tc>
        <w:tc>
          <w:tcPr>
            <w:tcW w:type="dxa" w:w="2484"/>
            <w:shd w:fill="F8FAFC"/>
          </w:tcPr>
          <w:p>
            <w:pPr>
              <w:jc w:val="center"/>
            </w:pPr>
            <w:r>
              <w:rPr>
                <w:sz w:val="16"/>
              </w:rPr>
              <w:t>Визуализация ЗЕТ, часов и компетенций</w:t>
            </w:r>
          </w:p>
        </w:tc>
        <w:tc>
          <w:tcPr>
            <w:tcW w:type="dxa" w:w="2484"/>
            <w:shd w:fill="F8FAFC"/>
          </w:tcPr>
          <w:p>
            <w:pPr>
              <w:jc w:val="center"/>
            </w:pPr>
            <w:r>
              <w:rPr>
                <w:sz w:val="16"/>
              </w:rPr>
              <w:t>JavaScript / Canvas</w:t>
            </w:r>
          </w:p>
        </w:tc>
      </w:tr>
      <w:tr>
        <w:tc>
          <w:tcPr>
            <w:tcW w:type="dxa" w:w="2484"/>
            <w:shd w:fill="FFFFFF"/>
          </w:tcPr>
          <w:p>
            <w:pPr>
              <w:jc w:val="left"/>
            </w:pPr>
            <w:r>
              <w:rPr>
                <w:b/>
                <w:sz w:val="16"/>
              </w:rPr>
              <w:t>3. Export &amp; Crypto</w:t>
            </w:r>
          </w:p>
        </w:tc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sz w:val="16"/>
              </w:rPr>
              <w:t>SheetJS (XLSX) &amp; jsPDF</w:t>
            </w:r>
          </w:p>
        </w:tc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sz w:val="16"/>
              </w:rPr>
              <w:t>Экспорт в Excel и генерация PDF бланков</w:t>
            </w:r>
          </w:p>
        </w:tc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sz w:val="16"/>
              </w:rPr>
              <w:t>Client/Server генератор</w:t>
            </w:r>
          </w:p>
        </w:tc>
      </w:tr>
      <w:tr>
        <w:tc>
          <w:tcPr>
            <w:tcW w:type="dxa" w:w="2484"/>
            <w:shd w:fill="F8FAFC"/>
          </w:tcPr>
          <w:p>
            <w:pPr>
              <w:jc w:val="left"/>
            </w:pPr>
            <w:r>
              <w:rPr>
                <w:b/>
                <w:sz w:val="16"/>
              </w:rPr>
              <w:t>3. Export &amp; Crypto</w:t>
            </w:r>
          </w:p>
        </w:tc>
        <w:tc>
          <w:tcPr>
            <w:tcW w:type="dxa" w:w="2484"/>
            <w:shd w:fill="F8FAFC"/>
          </w:tcPr>
          <w:p>
            <w:pPr>
              <w:jc w:val="center"/>
            </w:pPr>
            <w:r>
              <w:rPr>
                <w:sz w:val="16"/>
              </w:rPr>
              <w:t>CryptoJS (SHA-256) &amp; PKI Validator</w:t>
            </w:r>
          </w:p>
        </w:tc>
        <w:tc>
          <w:tcPr>
            <w:tcW w:type="dxa" w:w="2484"/>
            <w:shd w:fill="F8FAFC"/>
          </w:tcPr>
          <w:p>
            <w:pPr>
              <w:jc w:val="center"/>
            </w:pPr>
            <w:r>
              <w:rPr>
                <w:sz w:val="16"/>
              </w:rPr>
              <w:t>Хеширование и наложение штампа ЭЦП</w:t>
            </w:r>
          </w:p>
        </w:tc>
        <w:tc>
          <w:tcPr>
            <w:tcW w:type="dxa" w:w="2484"/>
            <w:shd w:fill="F8FAFC"/>
          </w:tcPr>
          <w:p>
            <w:pPr>
              <w:jc w:val="center"/>
            </w:pPr>
            <w:r>
              <w:rPr>
                <w:sz w:val="16"/>
              </w:rPr>
              <w:t>Криптографический модуль</w:t>
            </w:r>
          </w:p>
        </w:tc>
      </w:tr>
      <w:tr>
        <w:tc>
          <w:tcPr>
            <w:tcW w:type="dxa" w:w="2484"/>
            <w:shd w:fill="FFFFFF"/>
          </w:tcPr>
          <w:p>
            <w:pPr>
              <w:jc w:val="left"/>
            </w:pPr>
            <w:r>
              <w:rPr>
                <w:b/>
                <w:sz w:val="16"/>
              </w:rPr>
              <w:t>4. Interactive UX</w:t>
            </w:r>
          </w:p>
        </w:tc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sz w:val="16"/>
              </w:rPr>
              <w:t>FullCalendar v6 Scheduler</w:t>
            </w:r>
          </w:p>
        </w:tc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sz w:val="16"/>
              </w:rPr>
              <w:t>Календарь дедлайнов и заседаний УС</w:t>
            </w:r>
          </w:p>
        </w:tc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sz w:val="16"/>
              </w:rPr>
              <w:t>Interactive Scheduler</w:t>
            </w:r>
          </w:p>
        </w:tc>
      </w:tr>
      <w:tr>
        <w:tc>
          <w:tcPr>
            <w:tcW w:type="dxa" w:w="2484"/>
            <w:shd w:fill="F8FAFC"/>
          </w:tcPr>
          <w:p>
            <w:pPr>
              <w:jc w:val="left"/>
            </w:pPr>
            <w:r>
              <w:rPr>
                <w:b/>
                <w:sz w:val="16"/>
              </w:rPr>
              <w:t>4. Interactive UX</w:t>
            </w:r>
          </w:p>
        </w:tc>
        <w:tc>
          <w:tcPr>
            <w:tcW w:type="dxa" w:w="2484"/>
            <w:shd w:fill="F8FAFC"/>
          </w:tcPr>
          <w:p>
            <w:pPr>
              <w:jc w:val="center"/>
            </w:pPr>
            <w:r>
              <w:rPr>
                <w:sz w:val="16"/>
              </w:rPr>
              <w:t>SweetAlert2 &amp; Toastify.js</w:t>
            </w:r>
          </w:p>
        </w:tc>
        <w:tc>
          <w:tcPr>
            <w:tcW w:type="dxa" w:w="2484"/>
            <w:shd w:fill="F8FAFC"/>
          </w:tcPr>
          <w:p>
            <w:pPr>
              <w:jc w:val="center"/>
            </w:pPr>
            <w:r>
              <w:rPr>
                <w:sz w:val="16"/>
              </w:rPr>
              <w:t>Модальные окна визирования и тосты</w:t>
            </w:r>
          </w:p>
        </w:tc>
        <w:tc>
          <w:tcPr>
            <w:tcW w:type="dxa" w:w="2484"/>
            <w:shd w:fill="F8FAFC"/>
          </w:tcPr>
          <w:p>
            <w:pPr>
              <w:jc w:val="center"/>
            </w:pPr>
            <w:r>
              <w:rPr>
                <w:sz w:val="16"/>
              </w:rPr>
              <w:t>Alerting &amp; Dialogs</w:t>
            </w:r>
          </w:p>
        </w:tc>
      </w:tr>
      <w:tr>
        <w:tc>
          <w:tcPr>
            <w:tcW w:type="dxa" w:w="2484"/>
            <w:shd w:fill="FFFFFF"/>
          </w:tcPr>
          <w:p>
            <w:pPr>
              <w:jc w:val="left"/>
            </w:pPr>
            <w:r>
              <w:rPr>
                <w:b/>
                <w:sz w:val="16"/>
              </w:rPr>
              <w:t>4. Interactive UX</w:t>
            </w:r>
          </w:p>
        </w:tc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sz w:val="16"/>
              </w:rPr>
              <w:t>DataTables / Fuse.js Engine</w:t>
            </w:r>
          </w:p>
        </w:tc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sz w:val="16"/>
              </w:rPr>
              <w:t>Живой поиск, сортировка и пагинация</w:t>
            </w:r>
          </w:p>
        </w:tc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sz w:val="16"/>
              </w:rPr>
              <w:t>Live Search Component</w:t>
            </w:r>
          </w:p>
        </w:tc>
      </w:tr>
      <w:tr>
        <w:tc>
          <w:tcPr>
            <w:tcW w:type="dxa" w:w="2484"/>
            <w:shd w:fill="F8FAFC"/>
          </w:tcPr>
          <w:p>
            <w:pPr>
              <w:jc w:val="left"/>
            </w:pPr>
            <w:r>
              <w:rPr>
                <w:b/>
                <w:sz w:val="16"/>
              </w:rPr>
              <w:t>5. Backend &amp; Data</w:t>
            </w:r>
          </w:p>
        </w:tc>
        <w:tc>
          <w:tcPr>
            <w:tcW w:type="dxa" w:w="2484"/>
            <w:shd w:fill="F8FAFC"/>
          </w:tcPr>
          <w:p>
            <w:pPr>
              <w:jc w:val="center"/>
            </w:pPr>
            <w:r>
              <w:rPr>
                <w:sz w:val="16"/>
              </w:rPr>
              <w:t>Flask Engine &amp; MariaDB Cluster</w:t>
            </w:r>
          </w:p>
        </w:tc>
        <w:tc>
          <w:tcPr>
            <w:tcW w:type="dxa" w:w="2484"/>
            <w:shd w:fill="F8FAFC"/>
          </w:tcPr>
          <w:p>
            <w:pPr>
              <w:jc w:val="center"/>
            </w:pPr>
            <w:r>
              <w:rPr>
                <w:sz w:val="16"/>
              </w:rPr>
              <w:t>Маршрутизация и движок валидации ФГОС</w:t>
            </w:r>
          </w:p>
        </w:tc>
        <w:tc>
          <w:tcPr>
            <w:tcW w:type="dxa" w:w="2484"/>
            <w:shd w:fill="F8FAFC"/>
          </w:tcPr>
          <w:p>
            <w:pPr>
              <w:jc w:val="center"/>
            </w:pPr>
            <w:r>
              <w:rPr>
                <w:sz w:val="16"/>
              </w:rPr>
              <w:t>Python 3.11 / SQL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  <w:sz w:val="26"/>
        </w:rPr>
        <w:t>3. Примеры работы подключенных и настроенных модулей</w:t>
      </w:r>
    </w:p>
    <w:p>
      <w:pPr>
        <w:pStyle w:val="Heading2"/>
      </w:pPr>
      <w:r>
        <w:rPr>
          <w:color w:val="0F172A"/>
          <w:sz w:val="23"/>
        </w:rPr>
        <w:t>3.1. Модуль интерактивной бизнес-аналитики и визуализации данных (Chart.js)</w:t>
      </w:r>
    </w:p>
    <w:p>
      <w:r>
        <w:t>Модуль позволяет визуально оценивать баланс учебного плана: круговая диаграмма соотношения блоков (Б1.О 54%, Б1.В 32%, Б2 10%, Б3 4%), гистограмма аудиторных часов по 8 семестрам и радарная карта покрытия стандартов ФГОС.</w:t>
      </w:r>
    </w:p>
    <w:p>
      <w:r>
        <w:drawing>
          <wp:inline xmlns:a="http://schemas.openxmlformats.org/drawingml/2006/main" xmlns:pic="http://schemas.openxmlformats.org/drawingml/2006/picture">
            <wp:extent cx="5669280" cy="3569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chartjs_analy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Модуль аналитики Chart.js (Donut блоков, Bar-чарт семестров, Radar компетенций)</w:t>
      </w:r>
    </w:p>
    <w:p>
      <w:pPr>
        <w:spacing w:after="120"/>
      </w:pPr>
    </w:p>
    <w:p>
      <w:pPr>
        <w:pStyle w:val="Heading2"/>
      </w:pPr>
      <w:r>
        <w:rPr>
          <w:color w:val="0F172A"/>
          <w:sz w:val="23"/>
        </w:rPr>
        <w:t>3.2. Модуль генерации и экспорта нормативной документации (PDF &amp; Excel)</w:t>
      </w:r>
    </w:p>
    <w:p>
      <w:r>
        <w:t>Обеспечивает мгновенную выгрузку семестровых матриц в структурированные книги Microsoft Excel (.xlsx) с формулами и автоматическое формирование PDF-титульников УП со встроенным гербовым штампом ЭЦП.</w:t>
      </w:r>
    </w:p>
    <w:p>
      <w:r>
        <w:drawing>
          <wp:inline xmlns:a="http://schemas.openxmlformats.org/drawingml/2006/main" xmlns:pic="http://schemas.openxmlformats.org/drawingml/2006/picture">
            <wp:extent cx="5669280" cy="3569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export_pdf_exc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— Модуль выгрузки в Excel (SheetJS) и генерации официальных PDF бланков</w:t>
      </w:r>
    </w:p>
    <w:p>
      <w:pPr>
        <w:spacing w:after="120"/>
      </w:pPr>
    </w:p>
    <w:p>
      <w:pPr>
        <w:pStyle w:val="Heading2"/>
      </w:pPr>
      <w:r>
        <w:rPr>
          <w:color w:val="0F172A"/>
          <w:sz w:val="23"/>
        </w:rPr>
        <w:t>3.3. Модуль криптографии и наложения штампа ЭЦП (CryptoJS / SHA-256)</w:t>
      </w:r>
    </w:p>
    <w:p>
      <w:r>
        <w:t>Реализует алгоритмический расчет SHA-256 хеша структуры УП, валидацию открытых сертификатов УЦ Федерального Казначейства и наложение официального синего гербового штампа ЭЦП.</w:t>
      </w:r>
    </w:p>
    <w:p>
      <w:r>
        <w:drawing>
          <wp:inline xmlns:a="http://schemas.openxmlformats.org/drawingml/2006/main" xmlns:pic="http://schemas.openxmlformats.org/drawingml/2006/picture">
            <wp:extent cx="5669280" cy="35695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crypto_signature_stam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 — Модуль криптографического хеширования SHA-256 и штампа ЭЦП по ГОСТ</w:t>
      </w:r>
    </w:p>
    <w:p>
      <w:pPr>
        <w:spacing w:after="120"/>
      </w:pPr>
    </w:p>
    <w:p>
      <w:pPr>
        <w:pStyle w:val="Heading2"/>
      </w:pPr>
      <w:r>
        <w:rPr>
          <w:color w:val="0F172A"/>
          <w:sz w:val="23"/>
        </w:rPr>
        <w:t>3.4. Модуль визуального построчного Diff-сопоставления версий УП (Visual Diff Tracker)</w:t>
      </w:r>
    </w:p>
    <w:p>
      <w:r>
        <w:t>Интерактивное двухколоночное сравнение версий учебного плана с цветовой индикацией изменений (красным — удаленные/замененные поля, зеленым — актуализированные параметры) и контролем баланса 240 з.е.</w:t>
      </w:r>
    </w:p>
    <w:p>
      <w:r>
        <w:drawing>
          <wp:inline xmlns:a="http://schemas.openxmlformats.org/drawingml/2006/main" xmlns:pic="http://schemas.openxmlformats.org/drawingml/2006/picture">
            <wp:extent cx="5669280" cy="35695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visual_diff_track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5 — Модуль визуального построчного Diff-сопоставления редакций УП (v1.0 vs v1.1)</w:t>
      </w:r>
    </w:p>
    <w:p>
      <w:pPr>
        <w:spacing w:after="120"/>
      </w:pPr>
    </w:p>
    <w:p>
      <w:pPr>
        <w:pStyle w:val="Heading2"/>
      </w:pPr>
      <w:r>
        <w:rPr>
          <w:color w:val="0F172A"/>
          <w:sz w:val="23"/>
        </w:rPr>
        <w:t>3.5. Модуль интерактивного календаря и планировщика дедлайнов (FullCalendar)</w:t>
      </w:r>
    </w:p>
    <w:p>
      <w:r>
        <w:t>Отображает контрольные даты подачи служебных записок, сроки экспертизы АНОК, даты заседаний Ученого совета и критические дедлайны визирования.</w:t>
      </w:r>
    </w:p>
    <w:p>
      <w:r>
        <w:drawing>
          <wp:inline xmlns:a="http://schemas.openxmlformats.org/drawingml/2006/main" xmlns:pic="http://schemas.openxmlformats.org/drawingml/2006/picture">
            <wp:extent cx="5669280" cy="35695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calendar_schedul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6 — Модуль календаря регламентных дедлайнов и заседаний Ученого совета</w:t>
      </w:r>
    </w:p>
    <w:p>
      <w:pPr>
        <w:spacing w:after="120"/>
      </w:pPr>
    </w:p>
    <w:p>
      <w:pPr>
        <w:pStyle w:val="Heading2"/>
      </w:pPr>
      <w:r>
        <w:rPr>
          <w:color w:val="0F172A"/>
          <w:sz w:val="23"/>
        </w:rPr>
        <w:t>3.6. Модуль динамических таблиц, живого поиска и фильтрации (DataTables)</w:t>
      </w:r>
    </w:p>
    <w:p>
      <w:r>
        <w:t>Обеспечивает живую клиентскую фильтрацию по подстроке, двунаправленную сортировку по любым колонкам и переключение пагинации реестра дисциплин без перезагрузки страницы.</w:t>
      </w:r>
    </w:p>
    <w:p>
      <w:r>
        <w:drawing>
          <wp:inline xmlns:a="http://schemas.openxmlformats.org/drawingml/2006/main" xmlns:pic="http://schemas.openxmlformats.org/drawingml/2006/picture">
            <wp:extent cx="5669280" cy="35695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datatable_search_fil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7 — Модуль динамических таблиц с мгновенным живым поиском и сортировкой</w:t>
      </w:r>
    </w:p>
    <w:p>
      <w:pPr>
        <w:spacing w:after="120"/>
      </w:pPr>
    </w:p>
    <w:p>
      <w:pPr>
        <w:pStyle w:val="Heading2"/>
      </w:pPr>
      <w:r>
        <w:rPr>
          <w:color w:val="0F172A"/>
          <w:sz w:val="23"/>
        </w:rPr>
        <w:t>3.7. Модуль системных диалогов и интерактивных уведомлений (SweetAlert2 &amp; Toastify)</w:t>
      </w:r>
    </w:p>
    <w:p>
      <w:r>
        <w:t>Информирует пользователей о результатах валидации, статусах наложения ЭЦП и приближении нормативных дедлайнов через модальные окна и неблокирующие всплывающие тосты.</w:t>
      </w:r>
    </w:p>
    <w:p>
      <w:r>
        <w:drawing>
          <wp:inline xmlns:a="http://schemas.openxmlformats.org/drawingml/2006/main" xmlns:pic="http://schemas.openxmlformats.org/drawingml/2006/picture">
            <wp:extent cx="5669280" cy="35695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notifications_toa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8 — Модуль модальных окон подтверждения ЭЦП и системных Toast-алертов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color w:val="0F172A"/>
          <w:sz w:val="26"/>
        </w:rPr>
        <w:t>4. Заключение</w:t>
      </w:r>
    </w:p>
    <w:p>
      <w:r>
        <w:rPr>
          <w:b/>
        </w:rPr>
        <w:t>В ходе выполнения лабораторной работы № 6:</w:t>
        <w:br/>
      </w:r>
    </w:p>
    <w:p>
      <w:r>
        <w:t>• К корпоративному порталу подключен и настроен современный стек готовых библиотек и компонентов (Chart.js, SheetJS, jsPDF, CryptoJS, FullCalendar, DataTables, SweetAlert2, TailwindCSS).</w:t>
      </w:r>
    </w:p>
    <w:p>
      <w:r>
        <w:t>• Реализованы специализированные модули бизнес-логики: интерактивная аналитика ФГОС 3++, экспорт в Excel/PDF со штампом ЭЦП, криптографический расчет SHA-256, двухколоночный Diff-трекер, календарь дедлайнов и система всплывающих Toast-уведомлений.</w:t>
      </w:r>
    </w:p>
    <w:p>
      <w:r>
        <w:t>• Подготовлен комплект из 8 графических макетов высокого разрешения и сформирован полный пакет отчетной документации (MD, DOCX, PDF). Разработанная система полностью готова к формированию пояснительной записки и презентации в рамках Лабораторной работы № 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Корпоративный портал университета — Модуль Центра АНОК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ПРКП • Лабораторная работа № 6 • Вариант № 15 (Центр АНОК)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