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3</w:t>
        <w:br/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дисциплине: «Практикум по разработке корпоративного портала»</w:t>
        <w:br/>
        <w:br/>
      </w:r>
      <w:r>
        <w:rPr>
          <w:rFonts w:ascii="Times New Roman" w:hAnsi="Times New Roman"/>
          <w:b/>
          <w:sz w:val="28"/>
        </w:rPr>
        <w:t>Тема: «Создание шаблона дизайна портала и главных пользовательских интерфейсов»</w:t>
        <w:br/>
        <w:t>Вариант № 15: «Университет. Центр аккредитации и независимой оценки качества образования (АНОК)»</w:t>
      </w:r>
    </w:p>
    <w:p/>
    <w:p/>
    <w:p/>
    <w:p/>
    <w:p/>
    <w:p>
      <w:pPr>
        <w:spacing w:line="276" w:lineRule="auto"/>
        <w:jc w:val="right"/>
      </w:pPr>
      <w:r>
        <w:rPr>
          <w:rFonts w:ascii="Times New Roman" w:hAnsi="Times New Roman"/>
          <w:sz w:val="26"/>
        </w:rPr>
        <w:t>Выполнил:</w:t>
        <w:br/>
        <w:t>студент группы П-41</w:t>
        <w:br/>
        <w:t>Соловьёв А.С.</w:t>
        <w:br/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Москва, 2026 г.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Разработать модульный шаблон дизайна корпоративного портала Центра АНОК (включая компоновку страницы, сеточную структуру, цветовую палитру, типографику, адаптивные правила) и спроектировать главные пользовательские интерфейсы (ГПИ) для всех ключевых сценариев взаимодействия сотрудников университета.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Разработка шаблона дизайна портала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Шаблон дизайна корпоративного портала Центра АНОК построен на основе современных принципов чистого, контрастного и функционального академического UI/UX дизайна: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7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 — Шаблон интерфейса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2.1. Анатомия разметки страницы (Page Layout)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Заголовочная часть (Header, высота 60px):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Закреплена в верхней части экрана (</w:t>
      </w:r>
      <w:r>
        <w:rPr>
          <w:rFonts w:ascii="Courier New" w:hAnsi="Courier New"/>
          <w:b w:val="0"/>
          <w:i w:val="0"/>
          <w:sz w:val="28"/>
        </w:rPr>
        <w:t>position: sticky; top: 0; z-index: 100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Фирменный логотип Центра АНОК с монограммой «А».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Наименование: «УНИВЕРСИТЕТ · Центр АНОК (Автоматизированная настройка образовательного контента)».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Профиль текущего авторизованного пользователя с аватаром (Эксперт АНОК Соловьёв А.С.).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Боковая навигационная панель (Sidebar Navigation, ширина 240px):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Темный фон (</w:t>
      </w:r>
      <w:r>
        <w:rPr>
          <w:rFonts w:ascii="Courier New" w:hAnsi="Courier New"/>
          <w:b w:val="0"/>
          <w:i w:val="0"/>
          <w:sz w:val="28"/>
        </w:rPr>
        <w:t>#1e293b</w:t>
      </w:r>
      <w:r>
        <w:rPr>
          <w:rFonts w:ascii="Times New Roman" w:hAnsi="Times New Roman"/>
          <w:b w:val="0"/>
          <w:i w:val="0"/>
          <w:sz w:val="28"/>
        </w:rPr>
        <w:t>), обеспечивающий четкое визуальное разделение навигации и контента.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12 разделов меню с визуальными пиктограммами и текстовыми метками.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Индикация активного пункта меню с акцентной синей подсветкой и тенью (</w:t>
      </w:r>
      <w:r>
        <w:rPr>
          <w:rFonts w:ascii="Courier New" w:hAnsi="Courier New"/>
          <w:b w:val="0"/>
          <w:i w:val="0"/>
          <w:sz w:val="28"/>
        </w:rPr>
        <w:t>#2563eb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Основная рабочая область (Main Content Area):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Максимальная ширина 1200px с комфортными отступами (</w:t>
      </w:r>
      <w:r>
        <w:rPr>
          <w:rFonts w:ascii="Courier New" w:hAnsi="Courier New"/>
          <w:b w:val="0"/>
          <w:i w:val="0"/>
          <w:sz w:val="28"/>
        </w:rPr>
        <w:t>padding: 32px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Заголовок страницы (</w:t>
      </w:r>
      <w:r>
        <w:rPr>
          <w:rFonts w:ascii="Courier New" w:hAnsi="Courier New"/>
          <w:b w:val="0"/>
          <w:i w:val="0"/>
          <w:sz w:val="28"/>
        </w:rPr>
        <w:t>h1</w:t>
      </w:r>
      <w:r>
        <w:rPr>
          <w:rFonts w:ascii="Times New Roman" w:hAnsi="Times New Roman"/>
          <w:b w:val="0"/>
          <w:i w:val="0"/>
          <w:sz w:val="28"/>
        </w:rPr>
        <w:t>), подзаголовок с кратким описанием раздела.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Сетка аналитических карточек метрик (Grid layout).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Табличные контейнеры данных со скруглением углов (</w:t>
      </w:r>
      <w:r>
        <w:rPr>
          <w:rFonts w:ascii="Courier New" w:hAnsi="Courier New"/>
          <w:b w:val="0"/>
          <w:i w:val="0"/>
          <w:sz w:val="28"/>
        </w:rPr>
        <w:t>border-radius: 10px</w:t>
      </w:r>
      <w:r>
        <w:rPr>
          <w:rFonts w:ascii="Times New Roman" w:hAnsi="Times New Roman"/>
          <w:b w:val="0"/>
          <w:i w:val="0"/>
          <w:sz w:val="28"/>
        </w:rPr>
        <w:t>), мягкой тенью и горизонтальной прокруткой для таблиц с большим числом колонок.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Нижняя часть / футер (Footer):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Встроенная информационная строка статуса синхронизации и версии системы.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2.2. Цветовое решение и дизайн-токены (Design Tokens)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87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alette_typ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2 — Палитра и типографика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Элемент / Токен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Hex-код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 в интерфейсе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--bg-header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#0f172a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Темно-синий/графитовый цвет шапки (Slate-900)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--bg-sidebar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#1e293b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Темно-серый цвет навигационной панели (Slate-800)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--page-bg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#f8fafc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Светло-серый нейтральный фон страниц (Slate-50)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--card-bg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#ffffff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Чистый белый фон карточек и таблиц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--primary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#2563eb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Акцентный синий цвет (кнопки, активные ссылки, фокус)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--primary-hover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#1d4ed8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Состояние наведения интерактивных элементов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--text-main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#0f172a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#1e293b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Основной высококонтрастный текст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--text-muted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#64748b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Второстепенный поясняющий текст и метаданные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--border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#e2e8f0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Тонкие разделительные линии таблиц и карточек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--badge-green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#dcfce7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#15803d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Статусы: «Утверждено», «Подписано», «Успешно»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--badge-blue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#dbeafe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#1d4ed8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Статусы: «Обновлено», «Создано», базовые теги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--badge-purple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#f3e8ff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#7e22ce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Статусы: «На экспертизе в АНОК», «Закреплено»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--badge-yellow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#fef3c7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#b45309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Статусы: «На согласовании», «В процессе»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--badge-red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#fee2e2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#b91c1c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Статусы: «Ошибка», «Замечание ФГОС»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2.3. Типографика и шрифтовая шкала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Шрифтовой стек:</w:t>
      </w:r>
      <w:r>
        <w:rPr>
          <w:rFonts w:ascii="Times New Roman" w:hAnsi="Times New Roman"/>
          <w:b w:val="0"/>
          <w:i w:val="0"/>
          <w:sz w:val="28"/>
        </w:rPr>
        <w:t xml:space="preserve"> системный стек шрифтов без внешних веб-зависимостей: </w:t>
      </w:r>
      <w:r>
        <w:rPr>
          <w:rFonts w:ascii="Courier New" w:hAnsi="Courier New"/>
          <w:b w:val="0"/>
          <w:i w:val="0"/>
          <w:sz w:val="28"/>
        </w:rPr>
        <w:t>-apple-system, BlinkMacSystemFont, "Segoe UI", Roboto, "Helvetica Neue", Arial, sans-serif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Иерархия размеров шрифтов: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Заголовок раздела </w:t>
      </w:r>
      <w:r>
        <w:rPr>
          <w:rFonts w:ascii="Courier New" w:hAnsi="Courier New"/>
          <w:b w:val="0"/>
          <w:i w:val="0"/>
          <w:sz w:val="28"/>
        </w:rPr>
        <w:t>h1</w:t>
      </w:r>
      <w:r>
        <w:rPr>
          <w:rFonts w:ascii="Times New Roman" w:hAnsi="Times New Roman"/>
          <w:b w:val="0"/>
          <w:i w:val="0"/>
          <w:sz w:val="28"/>
        </w:rPr>
        <w:t>: 24px, жирный (</w:t>
      </w:r>
      <w:r>
        <w:rPr>
          <w:rFonts w:ascii="Courier New" w:hAnsi="Courier New"/>
          <w:b w:val="0"/>
          <w:i w:val="0"/>
          <w:sz w:val="28"/>
        </w:rPr>
        <w:t>font-weight: 700</w:t>
      </w:r>
      <w:r>
        <w:rPr>
          <w:rFonts w:ascii="Times New Roman" w:hAnsi="Times New Roman"/>
          <w:b w:val="0"/>
          <w:i w:val="0"/>
          <w:sz w:val="28"/>
        </w:rPr>
        <w:t xml:space="preserve">), цвет </w:t>
      </w:r>
      <w:r>
        <w:rPr>
          <w:rFonts w:ascii="Courier New" w:hAnsi="Courier New"/>
          <w:b w:val="0"/>
          <w:i w:val="0"/>
          <w:sz w:val="28"/>
        </w:rPr>
        <w:t>#0f172a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Подзаголовок </w:t>
      </w:r>
      <w:r>
        <w:rPr>
          <w:rFonts w:ascii="Courier New" w:hAnsi="Courier New"/>
          <w:b w:val="0"/>
          <w:i w:val="0"/>
          <w:sz w:val="28"/>
        </w:rPr>
        <w:t>h2</w:t>
      </w:r>
      <w:r>
        <w:rPr>
          <w:rFonts w:ascii="Times New Roman" w:hAnsi="Times New Roman"/>
          <w:b w:val="0"/>
          <w:i w:val="0"/>
          <w:sz w:val="28"/>
        </w:rPr>
        <w:t>: 18px, полужирный (</w:t>
      </w:r>
      <w:r>
        <w:rPr>
          <w:rFonts w:ascii="Courier New" w:hAnsi="Courier New"/>
          <w:b w:val="0"/>
          <w:i w:val="0"/>
          <w:sz w:val="28"/>
        </w:rPr>
        <w:t>font-weight: 600</w:t>
      </w:r>
      <w:r>
        <w:rPr>
          <w:rFonts w:ascii="Times New Roman" w:hAnsi="Times New Roman"/>
          <w:b w:val="0"/>
          <w:i w:val="0"/>
          <w:sz w:val="28"/>
        </w:rPr>
        <w:t xml:space="preserve">), цвет </w:t>
      </w:r>
      <w:r>
        <w:rPr>
          <w:rFonts w:ascii="Courier New" w:hAnsi="Courier New"/>
          <w:b w:val="0"/>
          <w:i w:val="0"/>
          <w:sz w:val="28"/>
        </w:rPr>
        <w:t>#1e293b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Числовые метрики карточек: 32px, сверхжирный (</w:t>
      </w:r>
      <w:r>
        <w:rPr>
          <w:rFonts w:ascii="Courier New" w:hAnsi="Courier New"/>
          <w:b w:val="0"/>
          <w:i w:val="0"/>
          <w:sz w:val="28"/>
        </w:rPr>
        <w:t>font-weight: 800</w:t>
      </w:r>
      <w:r>
        <w:rPr>
          <w:rFonts w:ascii="Times New Roman" w:hAnsi="Times New Roman"/>
          <w:b w:val="0"/>
          <w:i w:val="0"/>
          <w:sz w:val="28"/>
        </w:rPr>
        <w:t xml:space="preserve">), цвет </w:t>
      </w:r>
      <w:r>
        <w:rPr>
          <w:rFonts w:ascii="Courier New" w:hAnsi="Courier New"/>
          <w:b w:val="0"/>
          <w:i w:val="0"/>
          <w:sz w:val="28"/>
        </w:rPr>
        <w:t>#0f172a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Основной текст: 14px, нормальный (</w:t>
      </w:r>
      <w:r>
        <w:rPr>
          <w:rFonts w:ascii="Courier New" w:hAnsi="Courier New"/>
          <w:b w:val="0"/>
          <w:i w:val="0"/>
          <w:sz w:val="28"/>
        </w:rPr>
        <w:t>line-height: 1.5</w:t>
      </w:r>
      <w:r>
        <w:rPr>
          <w:rFonts w:ascii="Times New Roman" w:hAnsi="Times New Roman"/>
          <w:b w:val="0"/>
          <w:i w:val="0"/>
          <w:sz w:val="28"/>
        </w:rPr>
        <w:t xml:space="preserve">), цвет </w:t>
      </w:r>
      <w:r>
        <w:rPr>
          <w:rFonts w:ascii="Courier New" w:hAnsi="Courier New"/>
          <w:b w:val="0"/>
          <w:i w:val="0"/>
          <w:sz w:val="28"/>
        </w:rPr>
        <w:t>#1e293b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Заголовки таблиц </w:t>
      </w:r>
      <w:r>
        <w:rPr>
          <w:rFonts w:ascii="Courier New" w:hAnsi="Courier New"/>
          <w:b w:val="0"/>
          <w:i w:val="0"/>
          <w:sz w:val="28"/>
        </w:rPr>
        <w:t>th</w:t>
      </w:r>
      <w:r>
        <w:rPr>
          <w:rFonts w:ascii="Times New Roman" w:hAnsi="Times New Roman"/>
          <w:b w:val="0"/>
          <w:i w:val="0"/>
          <w:sz w:val="28"/>
        </w:rPr>
        <w:t>: 12px, прописные буквы, полужирный (</w:t>
      </w:r>
      <w:r>
        <w:rPr>
          <w:rFonts w:ascii="Courier New" w:hAnsi="Courier New"/>
          <w:b w:val="0"/>
          <w:i w:val="0"/>
          <w:sz w:val="28"/>
        </w:rPr>
        <w:t>font-weight: 600</w:t>
      </w:r>
      <w:r>
        <w:rPr>
          <w:rFonts w:ascii="Times New Roman" w:hAnsi="Times New Roman"/>
          <w:b w:val="0"/>
          <w:i w:val="0"/>
          <w:sz w:val="28"/>
        </w:rPr>
        <w:t xml:space="preserve">), цвет </w:t>
      </w:r>
      <w:r>
        <w:rPr>
          <w:rFonts w:ascii="Courier New" w:hAnsi="Courier New"/>
          <w:b w:val="0"/>
          <w:i w:val="0"/>
          <w:sz w:val="28"/>
        </w:rPr>
        <w:t>#475569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Метаданные и сноски: 12px / 13px, цвет </w:t>
      </w:r>
      <w:r>
        <w:rPr>
          <w:rFonts w:ascii="Courier New" w:hAnsi="Courier New"/>
          <w:b w:val="0"/>
          <w:i w:val="0"/>
          <w:sz w:val="28"/>
        </w:rPr>
        <w:t>#64748b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Моноширинные коды (хэши, блоки): </w:t>
      </w:r>
      <w:r>
        <w:rPr>
          <w:rFonts w:ascii="Courier New" w:hAnsi="Courier New"/>
          <w:b w:val="0"/>
          <w:i w:val="0"/>
          <w:sz w:val="28"/>
        </w:rPr>
        <w:t>font-family: monospace; font-size: 11px/12px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2.4. Адаптивные правила (Responsive Design)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уменьшении ширины экрана (≤ 768px):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Боковое меню компактно сворачивается в полосу шириной 70px с центрированными иконками.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Таблицы автоматически получают горизонтальную полосу прокрутки (</w:t>
      </w:r>
      <w:r>
        <w:rPr>
          <w:rFonts w:ascii="Courier New" w:hAnsi="Courier New"/>
          <w:b w:val="0"/>
          <w:i w:val="0"/>
          <w:sz w:val="28"/>
        </w:rPr>
        <w:t>overflow-x: auto</w:t>
      </w:r>
      <w:r>
        <w:rPr>
          <w:rFonts w:ascii="Times New Roman" w:hAnsi="Times New Roman"/>
          <w:b w:val="0"/>
          <w:i w:val="0"/>
          <w:sz w:val="28"/>
        </w:rPr>
        <w:t>), предотвращая искажение контента.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Карточки сводной панели перестраиваются в одноколоночную сетку.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 Главные пользовательские интерфейсы (ГПИ)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лабораторной работы спроектированы и реализованы 5 главных пользовательских интерфейсов: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3.1. ГПИ-1: Сводная аналитическая панель (Dashboard)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78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i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3 — Сводная панель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4 интерактивные карточки верхнего уровня (Учебные планы, Дисциплины, Стандарты ФГОС, Служебные записки).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Сводный реестр учебных планов с быстрым переходом к детальному просмотру.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Лента важных объявлений и регламентов Центра АНОК.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3.2. ГПИ-2: Просмотр и навигация по учебному плану (Curriculum Viewer)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785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i_curriculum_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4 — Учебный план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Карточка паспорта образовательной программы (код 09.03.04, уровень «Бакалавриат», форма «Очная», общая трудоемкость 240 з.е., выпускающая кафедра).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Навигационная панель переключения семестров (кнопки «Семестр 1» ... «Семестр 8»).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Информационная плашка семестрового баланса: количество дисциплин, сумма зачетных единиц (норма 30 з.е.), сумма часов (1080 ч.) с разбивкой на лекции, лабораторные, практики и СРС.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Детализированная таблица дисциплин семестра с блоками (Б1.О, Б1.В, Б2, Б3, ФТД), формами контроля и обеспечивающими кафедрами.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3.3. ГПИ-3: Модуль автоматизированной экспертизы ФГОС (FGOS Validation)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78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i_fgos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5 — Проверка ФГОС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Сводная карточка результатов верификации: 5 критериев соответствия ФГОС ВО 3++ (общая трудоемкость, баланс семестров, лимит экзаменов ≤ 5, практики ≥ 12 з.е., ГИА ≥ 6 з.е.).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Таблица действующих образовательных стандартов высшего образования.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3.4. ГПИ-4: Маршрут электронного согласования и ЭЦП (Sign Workflow)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78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i_sign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6 — Согласование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Хронологическая цепочка 4 этапов визирования УП.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Отображение ролей, ФИО подписантов, даты и времени наложения визы, экспертных комментариев и криптографических SHA-256 хэшей подписи.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3.5. ГПИ-5: Управление служебными записками (Service Notes)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785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i_service_no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7 — Служебные записки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Реестр служебных записок на корректировку параметров плана с фиксацией инициатора, согласующей кафедры, причины изменений и статуса обработки в АНОК.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4. Заключение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лабораторной работы № 3 разработан адаптивный модульный шаблон дизайна корпоративного портала Центра АНОК, сформирована таблица дизайн-токенов и цветовой палитры, определены типографические стандарты и реализованы 5 главных пользовательских интерфейсов.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