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32"/>
        </w:rPr>
        <w:t>ОТЧЕТ ПО ЛАБОРАТОРНОЙ РАБОТЕ №3</w:t>
        <w:br/>
      </w:r>
      <w:r>
        <w:rPr>
          <w:b/>
          <w:color w:val="0F172A"/>
          <w:sz w:val="24"/>
        </w:rPr>
        <w:t>Тема: Создание шаблона дизайна корпоративного портала и главных пользовательских интерфейсов (ГПИ)</w:t>
        <w:br/>
      </w:r>
      <w:r>
        <w:rPr>
          <w:i/>
          <w:color w:val="475569"/>
          <w:sz w:val="22"/>
        </w:rPr>
        <w:t>Вариант №15: Университет. Центр аккредитации и независимой оценки качества образования (АНОК)</w:t>
        <w:br/>
      </w:r>
    </w:p>
    <w:p>
      <w:pPr>
        <w:spacing w:after="120"/>
      </w:pPr>
    </w:p>
    <w:p>
      <w:pPr>
        <w:keepNext/>
        <w:spacing w:before="240" w:after="80"/>
      </w:pPr>
      <w:r>
        <w:rPr>
          <w:b/>
          <w:color w:val="1D4ED8"/>
          <w:sz w:val="26"/>
        </w:rPr>
        <w:t>1. Введение и цели работы</w:t>
      </w:r>
    </w:p>
    <w:p>
      <w:r>
        <w:t>Цель лабораторной работы — комплексное проектирование шаблона дизайна корпоративного портала университета (Модуль Центра АНОК) и создание главных пользовательских интерфейсов (ГПИ), обеспечивающих реализацию сквозного жизненного цикла разработки, экспертизы по ФГОС 3++, визирования и актуализации учебных планов согласно Варианту №15.</w:t>
      </w:r>
    </w:p>
    <w:p>
      <w:pPr>
        <w:keepNext/>
        <w:spacing w:before="240" w:after="80"/>
      </w:pPr>
      <w:r>
        <w:rPr>
          <w:b/>
          <w:color w:val="1D4ED8"/>
          <w:sz w:val="26"/>
        </w:rPr>
        <w:t>2. Разработка шаблона дизайна портала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2.1. Блочная разметка страницы (Page Layout &amp; Wireframe)</w:t>
      </w:r>
    </w:p>
    <w:p>
      <w:r>
        <w:t>Шаблон дизайна портала включает 4 ключевые функциональные зоны: заголовочную часть (Header, 64px), боковую панель навигации (Sidebar, 260px), адаптивную рабочую область (Main Content Area) и нижнюю панель (Footer, 48px).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847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7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Каркас и структура шаблона дизайна портала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2.2. Цветовое решение и дизайн-система</w:t>
      </w:r>
    </w:p>
    <w:p>
      <w:r>
        <w:t>Цветовая схема базируется на корпоративной синей гамме (Primary #1D4ED8, Brand #2563EB, Navy #0F172A) и строгой семантической статусной палитре (Success #16A34A, Warning #D97706, Danger #DC2626), удовлетворяющей стандарту доступности WCAG AAA.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847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7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Цветовая палитра, типографическая шкала и компоненты UI Kit</w:t>
      </w:r>
    </w:p>
    <w:p>
      <w:pPr>
        <w:keepNext/>
        <w:spacing w:before="240" w:after="80"/>
      </w:pPr>
      <w:r>
        <w:rPr>
          <w:b/>
          <w:color w:val="1D4ED8"/>
          <w:sz w:val="26"/>
        </w:rPr>
        <w:t>3. Главные пользовательские интерфейсы портала (ГПИ)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3.1. ГПИ 1: Главная сводная панель (Dashboard)</w:t>
      </w:r>
    </w:p>
    <w:p>
      <w:r>
        <w:t>Главная панель мониторинга и аккредитационной экспертизы Центра АНОК. Отображает ключевые показатели (KPI), долю проверенных УП и очередь планов, требующих оперативного рассмотрения.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ГПИ 1: Главная сводная панель оперативного мониторинга АНОК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3.2. ГПИ 2: Интерактивный редактор учебного плана</w:t>
      </w:r>
    </w:p>
    <w:p>
      <w:r>
        <w:t>Интерфейс выпускающей кафедры для формирования структуры УП по семестрам, распределения дисциплин, назначения кафедр-исполнителей и форм аттестации с контролем семестровой трудоемкости.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ГПИ 2: Интерактивный редактор учебного плана и семестровая матрица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3.3. ГПИ 3: Модуль автоматизированного контроля соответствия ФГОС 3++</w:t>
      </w:r>
    </w:p>
    <w:p>
      <w:r>
        <w:t>Экспертный интерфейс валидации учебного плана на соответствие стандартам: проверка общего объема 240 ЗЕТ, лимита экзаменов (не более 5 в семестр), объемов практик и итоговой аттестации.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ГПИ 3: Модуль валидатора соответствия ФГОС 3++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3.4. ГПИ 4: Маршрут электронного визирования и наложения ЭЦП</w:t>
      </w:r>
    </w:p>
    <w:p>
      <w:r>
        <w:t>Интерфейс пошагового подписания УП (Зав. кафедрой -&gt; Начальник АНОК -&gt; Проректор по УР -&gt; Ученый совет и Ректор) с вычислением SHA-256 хеша и контролем сертификатов ЭЦП.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ГПИ 4: Маршрут согласования и наложения квалифицированной ЭЦП</w:t>
      </w:r>
    </w:p>
    <w:p>
      <w:pPr>
        <w:keepNext/>
        <w:spacing w:before="160" w:after="60"/>
      </w:pPr>
      <w:r>
        <w:rPr>
          <w:b/>
          <w:color w:val="0F172A"/>
          <w:sz w:val="23"/>
        </w:rPr>
        <w:t>3.5. ГПИ 5: Модуль служебных записок на изменение УП</w:t>
      </w:r>
    </w:p>
    <w:p>
      <w:r>
        <w:t>Интерфейс инициации и межкафедрального согласования служебных записок до начала семестра с таблицей Diff-анализа и автоматическим выпуском новой версии УП (v1.1).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9406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9"/>
        </w:rPr>
        <w:t>Рисунок — ГПИ 5: Модуль служебных записок и Diff-анализа изменений УП</w:t>
      </w:r>
    </w:p>
    <w:p>
      <w:pPr>
        <w:keepNext/>
        <w:spacing w:before="240" w:after="80"/>
      </w:pPr>
      <w:r>
        <w:rPr>
          <w:b/>
          <w:color w:val="1D4ED8"/>
          <w:sz w:val="26"/>
        </w:rPr>
        <w:t>4. Заключение</w:t>
      </w:r>
    </w:p>
    <w:p>
      <w:r>
        <w:t>В ходе лабораторной работы №3 спроектирован масштабируемый шаблон дизайна портала университета и создано 5 высокодетализированных главных пользовательских интерфейсов (ГПИ), полностью реализующих требования Варианта №15.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