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sz w:val="24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  <w:br/>
        <w:t>Факультет информационных технологий</w:t>
        <w:br/>
        <w:t>Кафедра программной инженерии</w:t>
      </w:r>
    </w:p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6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«Работа с готовыми модулями и компонентами»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Цель работы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Показать использование готовых компонентов при создании интерфейса учебного веб-прототипа.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Использованные компоненты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4677"/>
        <w:gridCol w:w="4677"/>
      </w:tblGrid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Компонент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Назначение в прототипе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Flask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Маршрутизация страниц и связь с SQLite.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Jinja2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Формирование HTML-страниц из шаблонов и данных.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Tailwind CSS CDN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Стилизация, сетка, отступы и адаптивные классы.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Font Awesome CDN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Иконки меню и действий.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Google Fonts CDN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Шрифты интерфейса.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SQLite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Локальное хранение данных.</w:t>
            </w:r>
          </w:p>
        </w:tc>
      </w:tr>
    </w:tbl>
    <w:p>
      <w:pPr>
        <w:spacing w:after="120"/>
      </w:pP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3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architecture_integ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3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Архитектура интеграции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Примеры использования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шаблоне приложения Tailwind CSS используется для карточек, таблиц, кнопок, меню и цветовых статусов. Font Awesome используется для визуального обозначения пунктов навигации. Jinja2 выводит строки, полученные из SQLite, внутри циклов шаблонов.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Остальные библиотеки, показанные в исходных макетах, в текущую версию приложения не подключаются. Поэтому в отчёте не заявляются Chart.js, SheetJS, jsPDF, CryptoJS, FullCalendar, DataTables, SweetAlert2 и Toastify как работающие модули.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прототипе применены готовые компоненты, необходимые для маршрутизации, шаблонизации, оформления и работы с локальными данными. Состав отчёта ограничен фактически подключёнными средствами.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