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5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«Работа с инфоблоками и информационное наполнение портала»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keepNext/>
        <w:keepLines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Наполнить все разделы и страницы корпоративного портала Центра АНОК взаимосвязанными структурированными данными предметной области (информационными блоками), обеспечив полную согласованность зачетных единиц, академических часов, матриц компетенций, этапов согласования, служебных записок и записей журнала аудита.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2. Структура информационных блоков и привязка к сущностям базы данных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Информационные блоки портала соответствуют реляционным таблицам базы данных </w:t>
      </w:r>
      <w:r>
        <w:rPr>
          <w:rFonts w:ascii="Courier New" w:hAnsi="Courier New"/>
          <w:b w:val="0"/>
          <w:i w:val="0"/>
          <w:sz w:val="28"/>
        </w:rPr>
        <w:t>anok_portal</w:t>
      </w:r>
      <w:r>
        <w:rPr>
          <w:rFonts w:ascii="Times New Roman" w:hAnsi="Times New Roman"/>
          <w:b w:val="0"/>
          <w:i w:val="0"/>
          <w:sz w:val="28"/>
        </w:rPr>
        <w:t>:</w:t>
      </w:r>
    </w:p>
    <w:p>
      <w:pPr>
        <w:keepNext/>
        <w:keepLines/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339"/>
        <w:gridCol w:w="2339"/>
        <w:gridCol w:w="2339"/>
        <w:gridCol w:w="2339"/>
      </w:tblGrid>
      <w:tr>
        <w:trPr>
          <w:cantSplit/>
          <w:tblHeader w:val="true"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Информационный блок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Таблица БД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Количество записей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Назначение и состав данных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Учебные планы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curriculums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Паспорт УП направления 09.03.04 (2026/2027 уч. год, статус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APPROVED_RECTOR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, протокол № 8/26).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Дисциплины плана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curriculum_disciplines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51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51 дисциплина по 8 семестрам со строгим балансом: 30 з.е. и 1080 часов на семестр (240 з.е. суммарно).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Стандарты ФГОС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standards_fgos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Стандарты ФГОС ВО 3++ (09.03.04 бакалавриат, 09.03.01 бакалавриат, 09.04.04 магистратура).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Образовательные программы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educational_programs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Направление 09.03.04 «Программная инженерия» (профиль «Разработка программного обеспечения»).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Матрица компетенций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competencies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13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 универсальных (УК-1..8), 4 общепрофессиональных (ОПК-1..6), 4 профессиональных компетенции (ПК-1..4).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Подразделения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departments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Выпускающие кафедры (ПИ, ИСТ), обеспечивающие (ВМ, ИЯ, ОФ), экспертные (АНОК) и руководство (Ректорат).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Служебные записки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service_notes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СЗ № 048, 052, 059, 061 на корректировку дисциплин с дифференциалом «Было» → «Стало».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Маршрут визирования (ЭЦП)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document_signatures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 этапа согласования УП (Зав. кафедрой → Нач. АНОК → Проректор → Ректор) с хэшами SHA-256.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Объявления и регламенты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announcements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Нормативные регламенты и приказы Центра АНОК с метками закрепления.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Журнал аудита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audit_logs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Хронологические записи событий безопасности с фиксацией IP-адресов.</w:t>
            </w:r>
          </w:p>
        </w:tc>
      </w:tr>
      <w:tr>
        <w:trPr>
          <w:cantSplit/>
        </w:trP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Пользователи и роли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users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roles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 / 7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Справочник учетных записей сотрудников университета с ролями доступа.</w:t>
            </w:r>
          </w:p>
        </w:tc>
      </w:tr>
    </w:tbl>
    <w:p>
      <w:pPr>
        <w:spacing w:after="120"/>
      </w:pP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3. Детальный анализ информационного наполнения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3.1. Балансировка учебного плана направления 09.03.04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Учебный план спроектирован в строгом соответствии с требованиями ФГОС ВО 3++ по направлению 09.03.04 «Программная инженерия» (уровень бакалавриата, очная форма обучения):</w:t>
      </w:r>
    </w:p>
    <w:p>
      <w:pPr>
        <w:keepNext/>
        <w:keepLines/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2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cantSplit/>
          <w:tblHeader w:val="true"/>
        </w:trP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Семестр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Кол-во дисциплин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Сумма зачетных единиц (норма: 30 з.е.)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Аудиторные часы (Лек/Лаб/Прак)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СРС (часы)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Всего часов (норма: 1080 ч.)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Формы контроля</w:t>
            </w:r>
          </w:p>
        </w:tc>
      </w:tr>
      <w:tr>
        <w:trPr>
          <w:cantSplit/>
        </w:trP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360 ч. (126 / 72 / 162)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1080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 Экзамена, 3 Зачета</w:t>
            </w:r>
          </w:p>
        </w:tc>
      </w:tr>
      <w:tr>
        <w:trPr>
          <w:cantSplit/>
        </w:trP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2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360 ч. (126 / 72 / 162)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1080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 Экзамена, 3 Зачета</w:t>
            </w:r>
          </w:p>
        </w:tc>
      </w:tr>
      <w:tr>
        <w:trPr>
          <w:cantSplit/>
        </w:trP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360 ч. (180 / 90 / 90)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1080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 Экзамена, 3 Зачета</w:t>
            </w:r>
          </w:p>
        </w:tc>
      </w:tr>
      <w:tr>
        <w:trPr>
          <w:cantSplit/>
        </w:trP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4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360 ч. (144 / 108 / 108)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1080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 Экзамена, 2 Зачета</w:t>
            </w:r>
          </w:p>
        </w:tc>
      </w:tr>
      <w:tr>
        <w:trPr>
          <w:cantSplit/>
        </w:trP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5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360 ч. (144 / 108 / 108)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1080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 Экзамена, 4 Зачета</w:t>
            </w:r>
          </w:p>
        </w:tc>
      </w:tr>
      <w:tr>
        <w:trPr>
          <w:cantSplit/>
        </w:trP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6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360 ч. (108 / 144 / 108)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1080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 Экзамена, 2 Зачета</w:t>
            </w:r>
          </w:p>
        </w:tc>
      </w:tr>
      <w:tr>
        <w:trPr>
          <w:cantSplit/>
        </w:trP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7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360 ч. (108 / 144 / 108)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1080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 Экзамена, 3 Зачета</w:t>
            </w:r>
          </w:p>
        </w:tc>
      </w:tr>
      <w:tr>
        <w:trPr>
          <w:cantSplit/>
        </w:trP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8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144 ч. (18 / 36 / 90)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936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1080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 Экзамен, 2 Зачета, ГИА, ВКР</w:t>
            </w:r>
          </w:p>
        </w:tc>
      </w:tr>
      <w:tr>
        <w:trPr>
          <w:cantSplit/>
        </w:trP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ИТОГО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51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240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2664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5976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8640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100% баланс ФГОС 3++</w:t>
            </w:r>
          </w:p>
        </w:tc>
      </w:tr>
    </w:tbl>
    <w:p>
      <w:pPr>
        <w:spacing w:after="120"/>
      </w:pP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curriculums_fill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Учебные планы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fgos_validation_fill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Проверка ФГОС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3.2. Матрица компетенций образовательной программы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системе зафиксировано 13 компетенций, охватывающих все квалификационные дескрипторы выпускника программной инженерии: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Универсальные компетенции (УК):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УК-1</w:t>
      </w:r>
      <w:r>
        <w:rPr>
          <w:rFonts w:ascii="Times New Roman" w:hAnsi="Times New Roman"/>
          <w:b w:val="0"/>
          <w:i w:val="0"/>
          <w:sz w:val="28"/>
        </w:rPr>
        <w:t>: Системное и критическое мышление;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УК-2</w:t>
      </w:r>
      <w:r>
        <w:rPr>
          <w:rFonts w:ascii="Times New Roman" w:hAnsi="Times New Roman"/>
          <w:b w:val="0"/>
          <w:i w:val="0"/>
          <w:sz w:val="28"/>
        </w:rPr>
        <w:t>: Разработка и реализация проектов;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УК-3</w:t>
      </w:r>
      <w:r>
        <w:rPr>
          <w:rFonts w:ascii="Times New Roman" w:hAnsi="Times New Roman"/>
          <w:b w:val="0"/>
          <w:i w:val="0"/>
          <w:sz w:val="28"/>
        </w:rPr>
        <w:t>: Командная работа и лидерство;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УК-4</w:t>
      </w:r>
      <w:r>
        <w:rPr>
          <w:rFonts w:ascii="Times New Roman" w:hAnsi="Times New Roman"/>
          <w:b w:val="0"/>
          <w:i w:val="0"/>
          <w:sz w:val="28"/>
        </w:rPr>
        <w:t>: Деловая коммуникация;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УК-8</w:t>
      </w:r>
      <w:r>
        <w:rPr>
          <w:rFonts w:ascii="Times New Roman" w:hAnsi="Times New Roman"/>
          <w:b w:val="0"/>
          <w:i w:val="0"/>
          <w:sz w:val="28"/>
        </w:rPr>
        <w:t>: Безопасность жизнедеятельности.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Общепрофессиональные компетенции (ОПК):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ОПК-1</w:t>
      </w:r>
      <w:r>
        <w:rPr>
          <w:rFonts w:ascii="Times New Roman" w:hAnsi="Times New Roman"/>
          <w:b w:val="0"/>
          <w:i w:val="0"/>
          <w:sz w:val="28"/>
        </w:rPr>
        <w:t>: Математический и естественнонаучный аппарат;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ОПК-2</w:t>
      </w:r>
      <w:r>
        <w:rPr>
          <w:rFonts w:ascii="Times New Roman" w:hAnsi="Times New Roman"/>
          <w:b w:val="0"/>
          <w:i w:val="0"/>
          <w:sz w:val="28"/>
        </w:rPr>
        <w:t>: Информационно-коммуникационные технологии;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ОПК-4</w:t>
      </w:r>
      <w:r>
        <w:rPr>
          <w:rFonts w:ascii="Times New Roman" w:hAnsi="Times New Roman"/>
          <w:b w:val="0"/>
          <w:i w:val="0"/>
          <w:sz w:val="28"/>
        </w:rPr>
        <w:t>: Алгоритмы и структуры данных;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ОПК-6</w:t>
      </w:r>
      <w:r>
        <w:rPr>
          <w:rFonts w:ascii="Times New Roman" w:hAnsi="Times New Roman"/>
          <w:b w:val="0"/>
          <w:i w:val="0"/>
          <w:sz w:val="28"/>
        </w:rPr>
        <w:t>: Информационная безопасность вычислительных систем.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Профессиональные компетенции (ПК):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ПК-1</w:t>
      </w:r>
      <w:r>
        <w:rPr>
          <w:rFonts w:ascii="Times New Roman" w:hAnsi="Times New Roman"/>
          <w:b w:val="0"/>
          <w:i w:val="0"/>
          <w:sz w:val="28"/>
        </w:rPr>
        <w:t>: Проектирование программных комплексов и баз данных;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ПК-2</w:t>
      </w:r>
      <w:r>
        <w:rPr>
          <w:rFonts w:ascii="Times New Roman" w:hAnsi="Times New Roman"/>
          <w:b w:val="0"/>
          <w:i w:val="0"/>
          <w:sz w:val="28"/>
        </w:rPr>
        <w:t>: Разработка и отладка программного кода с применением CI/CD;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ПК-3</w:t>
      </w:r>
      <w:r>
        <w:rPr>
          <w:rFonts w:ascii="Times New Roman" w:hAnsi="Times New Roman"/>
          <w:b w:val="0"/>
          <w:i w:val="0"/>
          <w:sz w:val="28"/>
        </w:rPr>
        <w:t>: Тестирование, верификация и оптимизация ПО;</w:t>
      </w:r>
    </w:p>
    <w:p>
      <w:pPr>
        <w:keepLines/>
        <w:widowControl/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ПК-4</w:t>
      </w:r>
      <w:r>
        <w:rPr>
          <w:rFonts w:ascii="Times New Roman" w:hAnsi="Times New Roman"/>
          <w:b w:val="0"/>
          <w:i w:val="0"/>
          <w:sz w:val="28"/>
        </w:rPr>
        <w:t>: Сопровождение и администрирование распределенных систем.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competencies_matrix_fill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Компетенции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programs_standards_fill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Программы и стандарты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3.3. Служебные записки и механизм дифференциации («Было» → «Стало»)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Инфоблок служебных записок фиксирует документооборот по оперативным корректировкам учебного плана: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 xml:space="preserve">СЗ № 2026/048 (Статус </w:t>
      </w:r>
      <w:r>
        <w:rPr>
          <w:rFonts w:ascii="Courier New" w:hAnsi="Courier New"/>
          <w:b/>
          <w:i w:val="0"/>
          <w:sz w:val="28"/>
        </w:rPr>
        <w:t>APPLIED</w:t>
      </w:r>
      <w:r>
        <w:rPr>
          <w:rFonts w:ascii="Times New Roman" w:hAnsi="Times New Roman"/>
          <w:b/>
          <w:i w:val="0"/>
          <w:sz w:val="28"/>
        </w:rPr>
        <w:t>):</w:t>
      </w:r>
      <w:r>
        <w:rPr>
          <w:rFonts w:ascii="Times New Roman" w:hAnsi="Times New Roman"/>
          <w:b w:val="0"/>
          <w:i w:val="0"/>
          <w:sz w:val="28"/>
        </w:rPr>
        <w:t xml:space="preserve"> Увеличение трудоемкости дисциплины «Математический анализ» в 1 семестре с 3 до 5 з.е. и замена формы контроля «Зачет» на «Экзамен».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 xml:space="preserve">СЗ № 2026/052 (Статус </w:t>
      </w:r>
      <w:r>
        <w:rPr>
          <w:rFonts w:ascii="Courier New" w:hAnsi="Courier New"/>
          <w:b/>
          <w:i w:val="0"/>
          <w:sz w:val="28"/>
        </w:rPr>
        <w:t>APPLIED</w:t>
      </w:r>
      <w:r>
        <w:rPr>
          <w:rFonts w:ascii="Times New Roman" w:hAnsi="Times New Roman"/>
          <w:b/>
          <w:i w:val="0"/>
          <w:sz w:val="28"/>
        </w:rPr>
        <w:t>):</w:t>
      </w:r>
      <w:r>
        <w:rPr>
          <w:rFonts w:ascii="Times New Roman" w:hAnsi="Times New Roman"/>
          <w:b w:val="0"/>
          <w:i w:val="0"/>
          <w:sz w:val="28"/>
        </w:rPr>
        <w:t xml:space="preserve"> Перераспределение контактных часов по дисциплине «Алгоритмизация и основы программирования» (добавление 36 ч. лабораторного практикума за счет СРС).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 xml:space="preserve">СЗ № 2026/059 (Статус </w:t>
      </w:r>
      <w:r>
        <w:rPr>
          <w:rFonts w:ascii="Courier New" w:hAnsi="Courier New"/>
          <w:b/>
          <w:i w:val="0"/>
          <w:sz w:val="28"/>
        </w:rPr>
        <w:t>IN_ANOK</w:t>
      </w:r>
      <w:r>
        <w:rPr>
          <w:rFonts w:ascii="Times New Roman" w:hAnsi="Times New Roman"/>
          <w:b/>
          <w:i w:val="0"/>
          <w:sz w:val="28"/>
        </w:rPr>
        <w:t>):</w:t>
      </w:r>
      <w:r>
        <w:rPr>
          <w:rFonts w:ascii="Times New Roman" w:hAnsi="Times New Roman"/>
          <w:b w:val="0"/>
          <w:i w:val="0"/>
          <w:sz w:val="28"/>
        </w:rPr>
        <w:t xml:space="preserve"> Закрепление дисциплины по выбору «Разработка мобильных приложений» за профильной лабораторией.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 xml:space="preserve">СЗ № 2026/061 (Статус </w:t>
      </w:r>
      <w:r>
        <w:rPr>
          <w:rFonts w:ascii="Courier New" w:hAnsi="Courier New"/>
          <w:b/>
          <w:i w:val="0"/>
          <w:sz w:val="28"/>
        </w:rPr>
        <w:t>SIGNED_RELEASING</w:t>
      </w:r>
      <w:r>
        <w:rPr>
          <w:rFonts w:ascii="Times New Roman" w:hAnsi="Times New Roman"/>
          <w:b/>
          <w:i w:val="0"/>
          <w:sz w:val="28"/>
        </w:rPr>
        <w:t>):</w:t>
      </w:r>
      <w:r>
        <w:rPr>
          <w:rFonts w:ascii="Times New Roman" w:hAnsi="Times New Roman"/>
          <w:b w:val="0"/>
          <w:i w:val="0"/>
          <w:sz w:val="28"/>
        </w:rPr>
        <w:t xml:space="preserve"> Корректировка календарного графика производственной практики.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memos_diff_fil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Служебные записки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signatures_workflow_fill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Согласование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departments_structure_fill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Подразделения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news_announcements_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8 — Объявления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4. Заключение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лабораторной работы № 5 выполнено полное информационное наполнение всех разделов портала Центра АНОК с загрузкой 51 дисциплины (240 з.е.), 13 компетенций, 7 подразделений, 4 служебных записок, 4 регламентных объявлений и записей журнала аудита.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