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72A"/>
          <w:sz w:val="32"/>
        </w:rPr>
        <w:t>ОТЧЕТ ПО ЛАБОРАТОРНОЙ РАБОТЕ № 4</w:t>
        <w:br/>
      </w:r>
      <w:r>
        <w:rPr>
          <w:b/>
          <w:color w:val="1D4ED8"/>
          <w:sz w:val="26"/>
        </w:rPr>
        <w:t>«Создание структуры разделов и страниц портала»</w:t>
        <w:br/>
      </w:r>
      <w:r>
        <w:rPr>
          <w:i/>
          <w:color w:val="475569"/>
          <w:sz w:val="21"/>
        </w:rPr>
        <w:t>Вариант № 15: Университет. Центр Аккредитации и независимой оценки качества (АНОК)</w:t>
        <w:br/>
      </w:r>
    </w:p>
    <w:p>
      <w:pPr>
        <w:spacing w:after="160"/>
      </w:pPr>
    </w:p>
    <w:p>
      <w:pPr>
        <w:pStyle w:val="Heading1"/>
      </w:pPr>
      <w:r>
        <w:rPr>
          <w:color w:val="0F172A"/>
          <w:sz w:val="26"/>
        </w:rPr>
        <w:t>1. Введение и цели работы</w:t>
      </w:r>
    </w:p>
    <w:p>
      <w:r>
        <w:rPr>
          <w:b/>
        </w:rPr>
        <w:t xml:space="preserve">Цель лабораторной работы: </w:t>
      </w:r>
      <w:r>
        <w:t>Проектирование и программная реализация комплексной информационной архитектуры (Information Architecture, IA), иерархического дерева разделов, маршрутизации и главных функциональных веб-страниц корпоративного портала университета (Модуль Центра АНОК) в полном соответствии с бизнес-правилами Варианта № 15.</w:t>
      </w:r>
    </w:p>
    <w:p>
      <w:r>
        <w:rPr>
          <w:b/>
        </w:rPr>
        <w:t>В ходе работы решены следующие ключевые задачи:</w:t>
        <w:br/>
      </w:r>
    </w:p>
    <w:p>
      <w:pPr>
        <w:pStyle w:val="ListBullet"/>
      </w:pPr>
      <w:r>
        <w:t>• Спроектирована информационная архитектура (Sitemap) портала, охватывающая процессы жизненного цикла учебных планов (УП), экспертизы ФГОС 3++, электронного визирования и актуализации по служебным запискам;</w:t>
      </w:r>
    </w:p>
    <w:p>
      <w:pPr>
        <w:pStyle w:val="ListBullet"/>
      </w:pPr>
      <w:r>
        <w:t>• Сверстана и программно реализована структура 10 ключевых функциональных разделов и страниц с использованием TailwindCSS и FontAwesome;</w:t>
      </w:r>
    </w:p>
    <w:p>
      <w:pPr>
        <w:pStyle w:val="ListBullet"/>
      </w:pPr>
      <w:r>
        <w:t>• Реализованы интерактивные компоненты: семестровая матрица дисциплин, таблица сопоставления Diff («Было/Стало»), пошаговый маршрут ЭЦП (SHA-256) и чеклист автоматической валидации ФГОС;</w:t>
      </w:r>
    </w:p>
    <w:p>
      <w:pPr>
        <w:pStyle w:val="ListBullet"/>
      </w:pPr>
      <w:r>
        <w:t>• Подготовлены детальные графические макеты интерфейсов и сформирован итоговый отчет.</w:t>
      </w:r>
    </w:p>
    <w:p>
      <w:pPr>
        <w:pStyle w:val="Heading1"/>
      </w:pPr>
      <w:r>
        <w:rPr>
          <w:color w:val="0F172A"/>
          <w:sz w:val="26"/>
        </w:rPr>
        <w:t>2. Информационная архитектура портала и карта разделов (Sitemap)</w:t>
      </w:r>
    </w:p>
    <w:p>
      <w:r>
        <w:t>Информационная архитектура портала структурирована по 5 ключевым функциональным уровням, обеспечивающим логическую связность и быстрый доступ пользователей различных ролевых групп к целевым объектам.</w:t>
      </w:r>
    </w:p>
    <w:p>
      <w:r>
        <w:drawing>
          <wp:inline xmlns:a="http://schemas.openxmlformats.org/drawingml/2006/main" xmlns:pic="http://schemas.openxmlformats.org/drawingml/2006/picture">
            <wp:extent cx="5943600" cy="3852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map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2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1 — Информационная архитектура и карта разделов портала (Sitemap)</w:t>
      </w:r>
    </w:p>
    <w:p>
      <w:pPr>
        <w:spacing w:after="80"/>
      </w:pPr>
    </w:p>
    <w:p>
      <w:r>
        <w:rPr>
          <w:b/>
        </w:rPr>
        <w:t>Таблица 1 — Ролевая матрица доступа к разделам корпоративного портала (RBAC)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Раздел / URL</w:t>
            </w:r>
          </w:p>
        </w:tc>
        <w:tc>
          <w:tcPr>
            <w:tcW w:type="dxa" w:w="1656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Ректорат / УС</w:t>
            </w:r>
          </w:p>
        </w:tc>
        <w:tc>
          <w:tcPr>
            <w:tcW w:type="dxa" w:w="1656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Центр АНОК</w:t>
            </w:r>
          </w:p>
        </w:tc>
        <w:tc>
          <w:tcPr>
            <w:tcW w:type="dxa" w:w="1656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Выпускающая каф.</w:t>
            </w:r>
          </w:p>
        </w:tc>
        <w:tc>
          <w:tcPr>
            <w:tcW w:type="dxa" w:w="1656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Реализующая каф.</w:t>
            </w:r>
          </w:p>
        </w:tc>
        <w:tc>
          <w:tcPr>
            <w:tcW w:type="dxa" w:w="1656"/>
            <w:shd w:fill="0F172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Студенты / Препод.</w:t>
            </w:r>
          </w:p>
        </w:tc>
      </w:tr>
      <w:tr>
        <w:tc>
          <w:tcPr>
            <w:tcW w:type="dxa" w:w="1656"/>
            <w:shd w:fill="FFFFFF"/>
          </w:tcPr>
          <w:p>
            <w:pPr>
              <w:jc w:val="left"/>
            </w:pPr>
            <w:r>
              <w:rPr>
                <w:b/>
                <w:sz w:val="16"/>
              </w:rPr>
              <w:t>Сводная панель (/)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6"/>
              </w:rPr>
              <w:t>Чтение / KPI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6"/>
              </w:rPr>
              <w:t>Полный доступ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6"/>
              </w:rPr>
              <w:t>Свои УП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6"/>
              </w:rPr>
              <w:t>Свои дисциплины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656"/>
            <w:shd w:fill="F8FAFC"/>
          </w:tcPr>
          <w:p>
            <w:pPr>
              <w:jc w:val="left"/>
            </w:pPr>
            <w:r>
              <w:rPr>
                <w:b/>
                <w:sz w:val="16"/>
              </w:rPr>
              <w:t>Реестр планов (/plans)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6"/>
              </w:rPr>
              <w:t>Чтение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6"/>
              </w:rPr>
              <w:t>Полный доступ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6"/>
              </w:rPr>
              <w:t>Управление своими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6"/>
              </w:rPr>
              <w:t>Просмотр нагрузки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6"/>
              </w:rPr>
              <w:t>Просмотр Утв.</w:t>
            </w:r>
          </w:p>
        </w:tc>
      </w:tr>
      <w:tr>
        <w:tc>
          <w:tcPr>
            <w:tcW w:type="dxa" w:w="1656"/>
            <w:shd w:fill="FFFFFF"/>
          </w:tcPr>
          <w:p>
            <w:pPr>
              <w:jc w:val="left"/>
            </w:pPr>
            <w:r>
              <w:rPr>
                <w:b/>
                <w:sz w:val="16"/>
              </w:rPr>
              <w:t>Семестровая матрица (/plans/&lt;id&gt;)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6"/>
              </w:rPr>
              <w:t>Чтение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6"/>
              </w:rPr>
              <w:t>Экспертиза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6"/>
              </w:rPr>
              <w:t>Редактирование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6"/>
              </w:rPr>
              <w:t>Просмотр закрепл.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6"/>
              </w:rPr>
              <w:t>Чтение</w:t>
            </w:r>
          </w:p>
        </w:tc>
      </w:tr>
      <w:tr>
        <w:tc>
          <w:tcPr>
            <w:tcW w:type="dxa" w:w="1656"/>
            <w:shd w:fill="F8FAFC"/>
          </w:tcPr>
          <w:p>
            <w:pPr>
              <w:jc w:val="left"/>
            </w:pPr>
            <w:r>
              <w:rPr>
                <w:b/>
                <w:sz w:val="16"/>
              </w:rPr>
              <w:t>Валидатор ФГОС (/validate/&lt;id&gt;)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6"/>
              </w:rPr>
              <w:t>Просмотр отчета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6"/>
              </w:rPr>
              <w:t>Проведение аудита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6"/>
              </w:rPr>
              <w:t>Просмотр ошибок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656"/>
            <w:shd w:fill="FFFFFF"/>
          </w:tcPr>
          <w:p>
            <w:pPr>
              <w:jc w:val="left"/>
            </w:pPr>
            <w:r>
              <w:rPr>
                <w:b/>
                <w:sz w:val="16"/>
              </w:rPr>
              <w:t>Маршруты ЭЦП (/signatures)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6"/>
              </w:rPr>
              <w:t>Визирование / Приказ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6"/>
              </w:rPr>
              <w:t>Экспертная виза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6"/>
              </w:rPr>
              <w:t>Подпись проекта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656"/>
            <w:shd w:fill="F8FAFC"/>
          </w:tcPr>
          <w:p>
            <w:pPr>
              <w:jc w:val="left"/>
            </w:pPr>
            <w:r>
              <w:rPr>
                <w:b/>
                <w:sz w:val="16"/>
              </w:rPr>
              <w:t>Служебные записки (/memos)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6"/>
              </w:rPr>
              <w:t>Чтение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6"/>
              </w:rPr>
              <w:t>Применение в УП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6"/>
              </w:rPr>
              <w:t>Инициация / Подпись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6"/>
              </w:rPr>
              <w:t>Согласование / Подпись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656"/>
            <w:shd w:fill="FFFFFF"/>
          </w:tcPr>
          <w:p>
            <w:pPr>
              <w:jc w:val="left"/>
            </w:pPr>
            <w:r>
              <w:rPr>
                <w:b/>
                <w:sz w:val="16"/>
              </w:rPr>
              <w:t>Каталог программ (/programs)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6"/>
              </w:rPr>
              <w:t>Чтение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6"/>
              </w:rPr>
              <w:t>Управление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6"/>
              </w:rPr>
              <w:t>Чтение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6"/>
              </w:rPr>
              <w:t>Чтение</w:t>
            </w:r>
          </w:p>
        </w:tc>
        <w:tc>
          <w:tcPr>
            <w:tcW w:type="dxa" w:w="1656"/>
            <w:shd w:fill="FFFFFF"/>
          </w:tcPr>
          <w:p>
            <w:pPr>
              <w:jc w:val="center"/>
            </w:pPr>
            <w:r>
              <w:rPr>
                <w:sz w:val="16"/>
              </w:rPr>
              <w:t>Чтение</w:t>
            </w:r>
          </w:p>
        </w:tc>
      </w:tr>
      <w:tr>
        <w:tc>
          <w:tcPr>
            <w:tcW w:type="dxa" w:w="1656"/>
            <w:shd w:fill="F8FAFC"/>
          </w:tcPr>
          <w:p>
            <w:pPr>
              <w:jc w:val="left"/>
            </w:pPr>
            <w:r>
              <w:rPr>
                <w:b/>
                <w:sz w:val="16"/>
              </w:rPr>
              <w:t>Журнал аудита (/audit)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6"/>
              </w:rPr>
              <w:t>Чтение логов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6"/>
              </w:rPr>
              <w:t>Просмотр истории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type="dxa" w:w="1656"/>
            <w:shd w:fill="F8FAFC"/>
          </w:tcPr>
          <w:p>
            <w:pPr>
              <w:jc w:val="center"/>
            </w:pPr>
            <w:r>
              <w:rPr>
                <w:sz w:val="16"/>
              </w:rPr>
              <w:t>—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F172A"/>
          <w:sz w:val="26"/>
        </w:rPr>
        <w:t>3. Описание и структура реализованных разделов и страниц портала</w:t>
      </w:r>
    </w:p>
    <w:p>
      <w:pPr>
        <w:pStyle w:val="Heading2"/>
      </w:pPr>
      <w:r>
        <w:rPr>
          <w:color w:val="0F172A"/>
          <w:sz w:val="23"/>
        </w:rPr>
        <w:t>3.1. Раздел «Сводная панель оперативного мониторинга (Dashboard)»</w:t>
      </w:r>
    </w:p>
    <w:p>
      <w:r>
        <w:t>Раздел предназначен для руководства вуза и экспертов Центра АНОК. Содержит KPI-карточки общего пула УП (142 плана, 90.1% соответствия ФГОС), оперативную очередь проектов учебных планов, круговой индикатор нормативов и таймлайн визирования.</w:t>
      </w:r>
    </w:p>
    <w:p>
      <w:r>
        <w:drawing>
          <wp:inline xmlns:a="http://schemas.openxmlformats.org/drawingml/2006/main" xmlns:pic="http://schemas.openxmlformats.org/drawingml/2006/picture">
            <wp:extent cx="5669280" cy="35695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9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2 — Сводная панель мониторинга и аккредитационной экспертизы</w:t>
      </w:r>
    </w:p>
    <w:p>
      <w:pPr>
        <w:spacing w:after="120"/>
      </w:pPr>
    </w:p>
    <w:p>
      <w:pPr>
        <w:pStyle w:val="Heading2"/>
      </w:pPr>
      <w:r>
        <w:rPr>
          <w:color w:val="0F172A"/>
          <w:sz w:val="23"/>
        </w:rPr>
        <w:t>3.2. Раздел «Реестр учебных планов и семестровая матрица дисциплин»</w:t>
      </w:r>
    </w:p>
    <w:p>
      <w:r>
        <w:t>Реализует учет всех редакций УП, гибкую фильтрацию по учебным годам, уровням и кафедрам. Страница карточки УП содержит вкладочную семестровую матрицу с детальным распределением контактных часов (лекции, лабораторные, практики, СРС), зачетных единиц и обеспечивающих кафедр.</w:t>
      </w:r>
    </w:p>
    <w:p>
      <w:r>
        <w:drawing>
          <wp:inline xmlns:a="http://schemas.openxmlformats.org/drawingml/2006/main" xmlns:pic="http://schemas.openxmlformats.org/drawingml/2006/picture">
            <wp:extent cx="5669280" cy="35695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curriculum_catalo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9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3 — Реестр учебных планов и семестровая матрица курсов</w:t>
      </w:r>
    </w:p>
    <w:p>
      <w:pPr>
        <w:spacing w:after="120"/>
      </w:pPr>
    </w:p>
    <w:p>
      <w:pPr>
        <w:pStyle w:val="Heading2"/>
      </w:pPr>
      <w:r>
        <w:rPr>
          <w:color w:val="0F172A"/>
          <w:sz w:val="23"/>
        </w:rPr>
        <w:t>3.3. Раздел «Модуль аккредитационной экспертизы и валидации ФГОС 3++»</w:t>
      </w:r>
    </w:p>
    <w:p>
      <w:r>
        <w:t>Специализированный модуль автоматизированного контроля нормативов государственного образовательного стандарта. Проверяет баланс 240 з.е., лимит экзаменов (&lt;=5), обязательный блок Б1.О (&gt;=50%), объемы практик (&gt;=12 з.е.) и ГИА (&gt;=6 з.е.).</w:t>
      </w:r>
    </w:p>
    <w:p>
      <w:r>
        <w:drawing>
          <wp:inline xmlns:a="http://schemas.openxmlformats.org/drawingml/2006/main" xmlns:pic="http://schemas.openxmlformats.org/drawingml/2006/picture">
            <wp:extent cx="5669280" cy="35695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fgos_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9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4 — Модуль автоматизированного контроля нормативов ФГОС 3++</w:t>
      </w:r>
    </w:p>
    <w:p>
      <w:pPr>
        <w:spacing w:after="120"/>
      </w:pPr>
    </w:p>
    <w:p>
      <w:pPr>
        <w:pStyle w:val="Heading2"/>
      </w:pPr>
      <w:r>
        <w:rPr>
          <w:color w:val="0F172A"/>
          <w:sz w:val="23"/>
        </w:rPr>
        <w:t>3.4. Раздел «Маршруты электронного визирования и журнал ЭЦП»</w:t>
      </w:r>
    </w:p>
    <w:p>
      <w:r>
        <w:t>Обеспечивает 4-этапный регламент согласования документов (Зав. кафедрой -&gt; АНОК -&gt; Проректор -&gt; Ученый совет и Ректор). Форма подписания включает криптографический расчет SHA-256 хеша документа и верификацию сертификата Федерального Казначейства.</w:t>
      </w:r>
    </w:p>
    <w:p>
      <w:r>
        <w:drawing>
          <wp:inline xmlns:a="http://schemas.openxmlformats.org/drawingml/2006/main" xmlns:pic="http://schemas.openxmlformats.org/drawingml/2006/picture">
            <wp:extent cx="5669280" cy="35695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digital_signatur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9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5 — Маршруты электронного визирования и наложение ЭЦП</w:t>
      </w:r>
    </w:p>
    <w:p>
      <w:pPr>
        <w:spacing w:after="120"/>
      </w:pPr>
    </w:p>
    <w:p>
      <w:pPr>
        <w:pStyle w:val="Heading2"/>
      </w:pPr>
      <w:r>
        <w:rPr>
          <w:color w:val="0F172A"/>
          <w:sz w:val="23"/>
        </w:rPr>
        <w:t>3.5. Раздел «Служебные записки и актуализация УП (Diff-трекер)»</w:t>
      </w:r>
    </w:p>
    <w:p>
      <w:r>
        <w:t>Автоматизирует внесение изменений в УП до начала семестра на основании официальных служебных записок. Включает двустороннее подписание кафедрами (инициатор и исполнитель), наглядную таблицу «Было / Стало» и выпуск актуализированной версии v1.1.</w:t>
      </w:r>
    </w:p>
    <w:p>
      <w:r>
        <w:drawing>
          <wp:inline xmlns:a="http://schemas.openxmlformats.org/drawingml/2006/main" xmlns:pic="http://schemas.openxmlformats.org/drawingml/2006/picture">
            <wp:extent cx="5669280" cy="35695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service_mem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9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6 — Оформление служебных записок и сопоставление изменений (Diff)</w:t>
      </w:r>
    </w:p>
    <w:p>
      <w:pPr>
        <w:spacing w:after="120"/>
      </w:pPr>
    </w:p>
    <w:p>
      <w:pPr>
        <w:pStyle w:val="Heading2"/>
      </w:pPr>
      <w:r>
        <w:rPr>
          <w:color w:val="0F172A"/>
          <w:sz w:val="23"/>
        </w:rPr>
        <w:t>3.6. Раздел «Каталог образовательных программ и справочники ФГОС»</w:t>
      </w:r>
    </w:p>
    <w:p>
      <w:r>
        <w:t>Ведение реестра направлений бакалавриата, специалитета и магистратуры, нормативных приказов Минобрнауки РФ и справочника кафедр университета.</w:t>
      </w:r>
    </w:p>
    <w:p>
      <w:r>
        <w:drawing>
          <wp:inline xmlns:a="http://schemas.openxmlformats.org/drawingml/2006/main" xmlns:pic="http://schemas.openxmlformats.org/drawingml/2006/picture">
            <wp:extent cx="5669280" cy="35695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programs_and_standard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9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7 — Каталог образовательных программ и стандартов ФГОС</w:t>
      </w:r>
    </w:p>
    <w:p>
      <w:pPr>
        <w:spacing w:after="120"/>
      </w:pPr>
    </w:p>
    <w:p>
      <w:pPr>
        <w:pStyle w:val="Heading2"/>
      </w:pPr>
      <w:r>
        <w:rPr>
          <w:color w:val="0F172A"/>
          <w:sz w:val="23"/>
        </w:rPr>
        <w:t>3.7. Раздел «Журнал аудита, безопасность и история версий»</w:t>
      </w:r>
    </w:p>
    <w:p>
      <w:r>
        <w:t>Сквозное протоколирование действий пользователей с фиксацией IP-адресов, временных отметок, типов операций и статусов исполнения, обеспечивающее юридическую значимость и аудит системы.</w:t>
      </w:r>
    </w:p>
    <w:p>
      <w:r>
        <w:drawing>
          <wp:inline xmlns:a="http://schemas.openxmlformats.org/drawingml/2006/main" xmlns:pic="http://schemas.openxmlformats.org/drawingml/2006/picture">
            <wp:extent cx="5669280" cy="35695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_audit_and_securi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9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8 — Журнал аудита действий и безопасность системы</w:t>
      </w:r>
    </w:p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color w:val="0F172A"/>
          <w:sz w:val="26"/>
        </w:rPr>
        <w:t>4. Заключение</w:t>
      </w:r>
    </w:p>
    <w:p>
      <w:r>
        <w:rPr>
          <w:b/>
        </w:rPr>
        <w:t>В ходе выполнения лабораторной работы № 4:</w:t>
        <w:br/>
      </w:r>
    </w:p>
    <w:p>
      <w:r>
        <w:t>1. Спроектирована и задокументирована комплексная информационная архитектура корпоративного портала университета (Центр АНОК) в рамках Варианта № 15, включающая 5 иерархических уровней, 13 функциональных страниц и ролевую матрицу доступа (RBAC).</w:t>
      </w:r>
    </w:p>
    <w:p>
      <w:r>
        <w:t>• Сверстаны и программно реализованы ключевые разделы и страницы портала с поддержкой адаптивной верстки (TailwindCSS), современных компонентов интерфейса, семестровых матриц, динамических таблиц и форм наложения квалифицированной ЭЦП.</w:t>
      </w:r>
    </w:p>
    <w:p>
      <w:r>
        <w:t>• Реализованы специализированные модули: алгоритмический валидатор соблюдения стандартов ФГОС ВО 3++, 4-этапный маршрут визирования УП, модуль служебных записок на изменение УП до начала семестра с Diff-протоколом сопоставления «Было / Стало» и журнал аудита.</w:t>
      </w:r>
    </w:p>
    <w:p>
      <w:r>
        <w:t>• Подготовлен комплект из 8 графических макетов высокого разрешения и полный пакет отчетной документации. Созданная структура страниц полностью готова к этапу наполнения инфоблоками в рамках Лабораторной работы № 5.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Корпоративный портал университета — Модуль Центра АНОК |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ПРКП • Лабораторная работа № 4 • Вариант № 15 (Центр АНОК)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i/>
      <w:color w:val="0F17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64748B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64748B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