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Наполнить все разделы и страницы корпоративного портала Центра АНОК взаимосвязанными структурированными данными предметной области (информационными блоками), обеспечив полную согласованность зачетных единиц, академических часов, матриц компетенций, этапов согласования, служебных записок и записей журнала аудита.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информационных блоков и привязка к сущностям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Информационные блоки портала соответствуют реляционным таблицам базы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Информационный блок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Таблица БД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Количество записей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состав данных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Паспорт УП направления 09.03.04 (2026/2027 уч. год, статус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APPROVED_RECTOR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протокол № 8/26).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Дисциплины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 дисциплина по 8 семестрам со строгим балансом: 30 з.е. и 1080 часов на семестр (240 з.е. суммарно).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Стандарты ФГОС ВО 3++ (09.03.04 бакалавриат, 09.03.01 бакалавриат, 09.04.04 магистратура).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Образовательные 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Направление 09.03.04 «Программная инженерия» (профиль «Разработка программного обеспечения»).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Матрица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 универсальных (УК-1..8), 4 общепрофессиональных (ОПК-1..6), 4 профессиональных компетенции (ПК-1..4).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Выпускающие кафедры (ПИ, ИСТ), обеспечивающие (ВМ, ИЯ, ОФ), экспертные (АНОК) и руководство (Ректорат).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СЗ № 048, 052, 059, 061 на корректировку дисциплин с дифференциалом «Было» → «Стало».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Маршрут визирования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этапа согласования УП (Зав. кафедрой → Нач. АНОК → Проректор → Ректор) с хэшами SHA-256.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 и регламенты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Нормативные регламенты и приказы Центра АНОК с метками закрепления.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Хронологические записи событий безопасности с фиксацией IP-адресов.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Пользователи и роли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users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roles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 / 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учетных записей сотрудников университета с ролями доступа.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Детальный анализ информационного наполнения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Балансировка учебного плана направления 09.03.04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Учебный план спроектирован в строгом соответствии с требованиями ФГОС ВО 3++ по направлению 09.03.04 «Программная инженерия» (уровень бакалавриата, очная форма обучения):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Семестр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Кол-во дисциплин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Сумма зачетных единиц (норма: 30 з.е.)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Аудиторные часы (Лек/Лаб/Прак)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СРС (часы)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Всего часов (норма: 1080 ч.)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Формы контроля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(180 / 90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4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144 ч. (18 / 36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936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 Экзамен, 2 Зачета, ГИА, ВКР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ИТОГО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240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2664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5976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8640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 баланс ФГОС 3++</w:t>
            </w:r>
          </w:p>
        </w:tc>
      </w:tr>
    </w:tbl>
    <w:p>
      <w:pPr>
        <w:spacing w:after="120"/>
      </w:pP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Матрица компетенций образовательной программы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системе зафиксировано 13 компетенций, охватывающих все квалификационные дескрипторы выпускника программной инженерии: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Универсальные компетенции (УК):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УК-1</w:t>
      </w:r>
      <w:r>
        <w:rPr>
          <w:rFonts w:ascii="Times New Roman" w:hAnsi="Times New Roman"/>
          <w:b w:val="0"/>
          <w:i w:val="0"/>
          <w:sz w:val="28"/>
        </w:rPr>
        <w:t>: Системное и критическое мышление;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УК-2</w:t>
      </w:r>
      <w:r>
        <w:rPr>
          <w:rFonts w:ascii="Times New Roman" w:hAnsi="Times New Roman"/>
          <w:b w:val="0"/>
          <w:i w:val="0"/>
          <w:sz w:val="28"/>
        </w:rPr>
        <w:t>: Разработка и реализация проектов;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УК-3</w:t>
      </w:r>
      <w:r>
        <w:rPr>
          <w:rFonts w:ascii="Times New Roman" w:hAnsi="Times New Roman"/>
          <w:b w:val="0"/>
          <w:i w:val="0"/>
          <w:sz w:val="28"/>
        </w:rPr>
        <w:t>: Командная работа и лидерство;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УК-4</w:t>
      </w:r>
      <w:r>
        <w:rPr>
          <w:rFonts w:ascii="Times New Roman" w:hAnsi="Times New Roman"/>
          <w:b w:val="0"/>
          <w:i w:val="0"/>
          <w:sz w:val="28"/>
        </w:rPr>
        <w:t>: Деловая коммуникация;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УК-8</w:t>
      </w:r>
      <w:r>
        <w:rPr>
          <w:rFonts w:ascii="Times New Roman" w:hAnsi="Times New Roman"/>
          <w:b w:val="0"/>
          <w:i w:val="0"/>
          <w:sz w:val="28"/>
        </w:rPr>
        <w:t>: Безопасность жизнедеятельности.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Общепрофессиональные компетенции (ОПК):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ОПК-1</w:t>
      </w:r>
      <w:r>
        <w:rPr>
          <w:rFonts w:ascii="Times New Roman" w:hAnsi="Times New Roman"/>
          <w:b w:val="0"/>
          <w:i w:val="0"/>
          <w:sz w:val="28"/>
        </w:rPr>
        <w:t>: Математический и естественнонаучный аппарат;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ОПК-2</w:t>
      </w:r>
      <w:r>
        <w:rPr>
          <w:rFonts w:ascii="Times New Roman" w:hAnsi="Times New Roman"/>
          <w:b w:val="0"/>
          <w:i w:val="0"/>
          <w:sz w:val="28"/>
        </w:rPr>
        <w:t>: Информационно-коммуникационные технологии;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ОПК-4</w:t>
      </w:r>
      <w:r>
        <w:rPr>
          <w:rFonts w:ascii="Times New Roman" w:hAnsi="Times New Roman"/>
          <w:b w:val="0"/>
          <w:i w:val="0"/>
          <w:sz w:val="28"/>
        </w:rPr>
        <w:t>: Алгоритмы и структуры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ОПК-6</w:t>
      </w:r>
      <w:r>
        <w:rPr>
          <w:rFonts w:ascii="Times New Roman" w:hAnsi="Times New Roman"/>
          <w:b w:val="0"/>
          <w:i w:val="0"/>
          <w:sz w:val="28"/>
        </w:rPr>
        <w:t>: Информационная безопасность вычислительных систем.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Профессиональные компетенции (ПК):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ПК-1</w:t>
      </w:r>
      <w:r>
        <w:rPr>
          <w:rFonts w:ascii="Times New Roman" w:hAnsi="Times New Roman"/>
          <w:b w:val="0"/>
          <w:i w:val="0"/>
          <w:sz w:val="28"/>
        </w:rPr>
        <w:t>: Проектирование программных комплексов и баз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ПК-2</w:t>
      </w:r>
      <w:r>
        <w:rPr>
          <w:rFonts w:ascii="Times New Roman" w:hAnsi="Times New Roman"/>
          <w:b w:val="0"/>
          <w:i w:val="0"/>
          <w:sz w:val="28"/>
        </w:rPr>
        <w:t>: Разработка и отладка программного кода с применением CI/CD;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ПК-3</w:t>
      </w:r>
      <w:r>
        <w:rPr>
          <w:rFonts w:ascii="Times New Roman" w:hAnsi="Times New Roman"/>
          <w:b w:val="0"/>
          <w:i w:val="0"/>
          <w:sz w:val="28"/>
        </w:rPr>
        <w:t>: Тестирование, верификация и оптимизация ПО;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ПК-4</w:t>
      </w:r>
      <w:r>
        <w:rPr>
          <w:rFonts w:ascii="Times New Roman" w:hAnsi="Times New Roman"/>
          <w:b w:val="0"/>
          <w:i w:val="0"/>
          <w:sz w:val="28"/>
        </w:rPr>
        <w:t>: Сопровождение и администрирование распределенных систем.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Компетенции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Служебные записки и механизм дифференциации («Было» → «Стало»)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Инфоблок служебных записок фиксирует документооборот по оперативным корректировкам учебного плана: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2026/048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Увеличение трудоемкости дисциплины «Математический анализ» в 1 семестре с 3 до 5 з.е. и замена формы контроля «Зачет» на «Экзамен».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2026/052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Перераспределение контактных часов по дисциплине «Алгоритмизация и основы программирования» (добавление 36 ч. лабораторного практикума за счет СРС).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2026/059 (Статус </w:t>
      </w:r>
      <w:r>
        <w:rPr>
          <w:rFonts w:ascii="Courier New" w:hAnsi="Courier New"/>
          <w:b/>
          <w:i w:val="0"/>
          <w:sz w:val="28"/>
        </w:rPr>
        <w:t>IN_ANOK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Закрепление дисциплины по выбору «Разработка мобильных приложений» за профильной лабораторией.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2026/061 (Статус </w:t>
      </w:r>
      <w:r>
        <w:rPr>
          <w:rFonts w:ascii="Courier New" w:hAnsi="Courier New"/>
          <w:b/>
          <w:i w:val="0"/>
          <w:sz w:val="28"/>
        </w:rPr>
        <w:t>SIGNED_RELEASING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Корректировка календарного графика производственной практики.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Служебные записки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Подразделения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Объявления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5 выполнено полное информационное наполнение всех разделов портала Центра АНОК с загрузкой 51 дисциплины (240 з.е.), 13 компетенций, 7 подразделений, 4 служебных записок, 4 регламентных объявлений и записей журнала аудита.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