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i w:val="0"/>
          <w:sz w:val="28"/>
        </w:rPr>
        <w:t>Учебный план (УП)</w:t>
      </w:r>
      <w:r>
        <w:rPr>
          <w:rFonts w:ascii="Times New Roman" w:hAnsi="Times New Roman"/>
          <w:b w:val="0"/>
          <w:i w:val="0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Инициация и разработка проекта УП:</w:t>
      </w:r>
      <w:r>
        <w:rPr>
          <w:rFonts w:ascii="Times New Roman" w:hAnsi="Times New Roman"/>
          <w:b w:val="0"/>
          <w:i w:val="0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Экспертиза и автоматическая валидация:</w:t>
      </w:r>
      <w:r>
        <w:rPr>
          <w:rFonts w:ascii="Times New Roman" w:hAnsi="Times New Roman"/>
          <w:b w:val="0"/>
          <w:i w:val="0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Количество экзаменов в одну экзаменационную сессию (≤ 5 экзаменов);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практической подготовки (≥ 12 з.е.);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государственной итоговой аттестации (≥ 6 з.е.);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Корректность закрепления дисциплин за обеспечивающими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Маршрут согласования и утверждения:</w:t>
      </w:r>
      <w:r>
        <w:rPr>
          <w:rFonts w:ascii="Times New Roman" w:hAnsi="Times New Roman"/>
          <w:b w:val="0"/>
          <w:i w:val="0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Основные функции и зоны ответственности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выпускающего подразделения (Зав. кафедрой)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HEAD_RELEASING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реализующего подразделения (Обеспечивающая каф.)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HEAD_IMPLEMENTING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Эксперт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EXPERT_ANOK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Начальник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Проректор по учебной работе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VICE_RECTOR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Ректор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Секретарь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COUNCIL_SEC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Преподаватель / Студент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VIEWER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Администратор портала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ADMIN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аккредитационной экспертизы:</w:t>
      </w:r>
      <w:r>
        <w:rPr>
          <w:rFonts w:ascii="Times New Roman" w:hAnsi="Times New Roman"/>
          <w:b w:val="0"/>
          <w:i w:val="0"/>
          <w:sz w:val="28"/>
        </w:rPr>
        <w:t xml:space="preserve"> «Автоматическая валидация по ФГОС ВО 3++», «Контроль лимита экзаменов в сессию (≤ 5)», «Контроль объема практик и ГИА», «Формирование протокола замечаний».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электронного согласования:</w:t>
      </w:r>
      <w:r>
        <w:rPr>
          <w:rFonts w:ascii="Times New Roman" w:hAnsi="Times New Roman"/>
          <w:b w:val="0"/>
          <w:i w:val="0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служебных записок:</w:t>
      </w:r>
      <w:r>
        <w:rPr>
          <w:rFonts w:ascii="Times New Roman" w:hAnsi="Times New Roman"/>
          <w:b w:val="0"/>
          <w:i w:val="0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Справочно-информационная подсистема:</w:t>
      </w:r>
      <w:r>
        <w:rPr>
          <w:rFonts w:ascii="Times New Roman" w:hAnsi="Times New Roman"/>
          <w:b w:val="0"/>
          <w:i w:val="0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ФТ-01 (Хранение ОП и УП):</w:t>
      </w:r>
      <w:r>
        <w:rPr>
          <w:rFonts w:ascii="Times New Roman" w:hAnsi="Times New Roman"/>
          <w:b w:val="0"/>
          <w:i w:val="0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ФТ-02 (Сетка дисциплин):</w:t>
      </w:r>
      <w:r>
        <w:rPr>
          <w:rFonts w:ascii="Times New Roman" w:hAnsi="Times New Roman"/>
          <w:b w:val="0"/>
          <w:i w:val="0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ФТ-03 (Семестровая навигация):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ФТ-04 (Нормативы ФГОС):</w:t>
      </w:r>
      <w:r>
        <w:rPr>
          <w:rFonts w:ascii="Times New Roman" w:hAnsi="Times New Roman"/>
          <w:b w:val="0"/>
          <w:i w:val="0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ФТ-05 (Валидация):</w:t>
      </w:r>
      <w:r>
        <w:rPr>
          <w:rFonts w:ascii="Times New Roman" w:hAnsi="Times New Roman"/>
          <w:b w:val="0"/>
          <w:i w:val="0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ФТ-06 (Маршрут согласования):</w:t>
      </w:r>
      <w:r>
        <w:rPr>
          <w:rFonts w:ascii="Times New Roman" w:hAnsi="Times New Roman"/>
          <w:b w:val="0"/>
          <w:i w:val="0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b/>
          <w:i w:val="0"/>
          <w:sz w:val="28"/>
        </w:rPr>
        <w:t>ФТ-07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b/>
          <w:i w:val="0"/>
          <w:sz w:val="28"/>
        </w:rPr>
        <w:t>ФТ-08 (Матрица компетенций):</w:t>
      </w:r>
      <w:r>
        <w:rPr>
          <w:rFonts w:ascii="Times New Roman" w:hAnsi="Times New Roman"/>
          <w:b w:val="0"/>
          <w:i w:val="0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b/>
          <w:i w:val="0"/>
          <w:sz w:val="28"/>
        </w:rPr>
        <w:t>ФТ-09 (Справочник кафедр):</w:t>
      </w:r>
      <w:r>
        <w:rPr>
          <w:rFonts w:ascii="Times New Roman" w:hAnsi="Times New Roman"/>
          <w:b w:val="0"/>
          <w:i w:val="0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b/>
          <w:i w:val="0"/>
          <w:sz w:val="28"/>
        </w:rPr>
        <w:t>ФТ-10 (Объявления):</w:t>
      </w:r>
      <w:r>
        <w:rPr>
          <w:rFonts w:ascii="Times New Roman" w:hAnsi="Times New Roman"/>
          <w:b w:val="0"/>
          <w:i w:val="0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b/>
          <w:i w:val="0"/>
          <w:sz w:val="28"/>
        </w:rPr>
        <w:t>ФТ-11 (Журнал аудита):</w:t>
      </w:r>
      <w:r>
        <w:rPr>
          <w:rFonts w:ascii="Times New Roman" w:hAnsi="Times New Roman"/>
          <w:b w:val="0"/>
          <w:i w:val="0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b/>
          <w:i w:val="0"/>
          <w:sz w:val="28"/>
        </w:rPr>
        <w:t>ФТ-12 (Карта сайта):</w:t>
      </w:r>
      <w:r>
        <w:rPr>
          <w:rFonts w:ascii="Times New Roman" w:hAnsi="Times New Roman"/>
          <w:b w:val="0"/>
          <w:i w:val="0"/>
          <w:sz w:val="28"/>
        </w:rPr>
        <w:t xml:space="preserve"> Наличие интерактивной карты сайта со всеми разделами системы.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НФТ-01 (Производительность):</w:t>
      </w:r>
      <w:r>
        <w:rPr>
          <w:rFonts w:ascii="Times New Roman" w:hAnsi="Times New Roman"/>
          <w:b w:val="0"/>
          <w:i w:val="0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НФТ-02 (Надежность и транзакционность):</w:t>
      </w:r>
      <w:r>
        <w:rPr>
          <w:rFonts w:ascii="Times New Roman" w:hAnsi="Times New Roman"/>
          <w:b w:val="0"/>
          <w:i w:val="0"/>
          <w:sz w:val="28"/>
        </w:rPr>
        <w:t xml:space="preserve"> Целостность данных обеспечивается связями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НФТ-03 (Безопасность):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 для исключения SQL-инъекций; экранирование вывода HTML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>) для защиты от XSS.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НФТ-05 (Адаптивность):</w:t>
      </w:r>
      <w:r>
        <w:rPr>
          <w:rFonts w:ascii="Times New Roman" w:hAnsi="Times New Roman"/>
          <w:b w:val="0"/>
          <w:i w:val="0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НФТ-06 (Эргономика):</w:t>
      </w:r>
      <w:r>
        <w:rPr>
          <w:rFonts w:ascii="Times New Roman" w:hAnsi="Times New Roman"/>
          <w:b w:val="0"/>
          <w:i w:val="0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Native PHP + PDO / Light Server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Лицензия и стоимость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(Open Source)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Язык разработки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 / Python 3.x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Поддерживаемые СУБД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SQLite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Требования к ресурсам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Высокие (≥ 256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Минимальные (&lt; 32 MB RAM)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Сложность развертывания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Нулевая (запуск одной командой)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Кастомизация структур данных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Прямой SQL DDL / DML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Прозрачность архитектуры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100% прозрачность для учебного анализа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Безопасность запросов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i w:val="0"/>
          <w:sz w:val="28"/>
        </w:rPr>
        <w:t>нативный стек PHP / Python с PDO / SQLite / MySQL</w:t>
      </w:r>
      <w:r>
        <w:rPr>
          <w:rFonts w:ascii="Times New Roman" w:hAnsi="Times New Roman"/>
          <w:b w:val="0"/>
          <w:i w:val="0"/>
          <w:sz w:val="28"/>
        </w:rPr>
        <w:t>. Данный выбор обоснован следующими факторами: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Полное соответствие заданию:</w:t>
      </w:r>
      <w:r>
        <w:rPr>
          <w:rFonts w:ascii="Times New Roman" w:hAnsi="Times New Roman"/>
          <w:b w:val="0"/>
          <w:i w:val="0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Прозрачность реализации:</w:t>
      </w:r>
      <w:r>
        <w:rPr>
          <w:rFonts w:ascii="Times New Roman" w:hAnsi="Times New Roman"/>
          <w:b w:val="0"/>
          <w:i w:val="0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Автономность и мобильность: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1 полностью исследована предметная область Центра АНОК университета, выделены 8 ролей пользователей,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