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ВВЕДЕНИЕ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Корпоративный портал Центра АНОК предназначен для: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Серверный уровень:</w:t>
      </w:r>
      <w:r>
        <w:rPr>
          <w:rFonts w:ascii="Times New Roman" w:hAnsi="Times New Roman"/>
          <w:b w:val="0"/>
          <w:i w:val="0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(&lt; 50 мс), минимальное потребление оперативной памяти (&lt; 30 МБ) и максимальную переносимость.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базы данных: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полностью исключающих уязвимости класса SQL Injection.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уровень:</w:t>
      </w:r>
      <w:r>
        <w:rPr>
          <w:rFonts w:ascii="Times New Roman" w:hAnsi="Times New Roman"/>
          <w:b w:val="0"/>
          <w:i w:val="0"/>
          <w:sz w:val="28"/>
        </w:rPr>
        <w:t xml:space="preserve"> Семантический HTML5, адаптивный CSS3 с использованием CSS Grid и Flexbox, нативный JavaScript (ES6), а также подключенные готовые open-source модули (ЛР № 6): </w:t>
      </w:r>
      <w:r>
        <w:rPr>
          <w:rFonts w:ascii="Times New Roman" w:hAnsi="Times New Roman"/>
          <w:b/>
          <w:i w:val="0"/>
          <w:sz w:val="28"/>
        </w:rPr>
        <w:t>Chart.js</w:t>
      </w:r>
      <w:r>
        <w:rPr>
          <w:rFonts w:ascii="Times New Roman" w:hAnsi="Times New Roman"/>
          <w:b w:val="0"/>
          <w:i w:val="0"/>
          <w:sz w:val="28"/>
        </w:rPr>
        <w:t xml:space="preserve"> (диаграммы аналитики), </w:t>
      </w:r>
      <w:r>
        <w:rPr>
          <w:rFonts w:ascii="Times New Roman" w:hAnsi="Times New Roman"/>
          <w:b/>
          <w:i w:val="0"/>
          <w:sz w:val="28"/>
        </w:rPr>
        <w:t>FullCalendar</w:t>
      </w:r>
      <w:r>
        <w:rPr>
          <w:rFonts w:ascii="Times New Roman" w:hAnsi="Times New Roman"/>
          <w:b w:val="0"/>
          <w:i w:val="0"/>
          <w:sz w:val="28"/>
        </w:rPr>
        <w:t xml:space="preserve"> (календарь регламентных процедур), </w:t>
      </w:r>
      <w:r>
        <w:rPr>
          <w:rFonts w:ascii="Times New Roman" w:hAnsi="Times New Roman"/>
          <w:b/>
          <w:i w:val="0"/>
          <w:sz w:val="28"/>
        </w:rPr>
        <w:t>DataTables</w:t>
      </w:r>
      <w:r>
        <w:rPr>
          <w:rFonts w:ascii="Times New Roman" w:hAnsi="Times New Roman"/>
          <w:b w:val="0"/>
          <w:i w:val="0"/>
          <w:sz w:val="28"/>
        </w:rPr>
        <w:t xml:space="preserve"> (динамические таблицы с живым поиском и пагинацией), </w:t>
      </w:r>
      <w:r>
        <w:rPr>
          <w:rFonts w:ascii="Times New Roman" w:hAnsi="Times New Roman"/>
          <w:b/>
          <w:i w:val="0"/>
          <w:sz w:val="28"/>
        </w:rPr>
        <w:t>SheetJS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jsPDF</w:t>
      </w:r>
      <w:r>
        <w:rPr>
          <w:rFonts w:ascii="Times New Roman" w:hAnsi="Times New Roman"/>
          <w:b w:val="0"/>
          <w:i w:val="0"/>
          <w:sz w:val="28"/>
        </w:rPr>
        <w:t xml:space="preserve"> (экспорт учебного плана в Excel и PDF), </w:t>
      </w:r>
      <w:r>
        <w:rPr>
          <w:rFonts w:ascii="Times New Roman" w:hAnsi="Times New Roman"/>
          <w:b/>
          <w:i w:val="0"/>
          <w:sz w:val="28"/>
        </w:rPr>
        <w:t>CryptoJS</w:t>
      </w:r>
      <w:r>
        <w:rPr>
          <w:rFonts w:ascii="Times New Roman" w:hAnsi="Times New Roman"/>
          <w:b w:val="0"/>
          <w:i w:val="0"/>
          <w:sz w:val="28"/>
        </w:rPr>
        <w:t xml:space="preserve"> (вычисление SHA-256 хэшей и верификация штампов ЭЦП), </w:t>
      </w:r>
      <w:r>
        <w:rPr>
          <w:rFonts w:ascii="Times New Roman" w:hAnsi="Times New Roman"/>
          <w:b/>
          <w:i w:val="0"/>
          <w:sz w:val="28"/>
        </w:rPr>
        <w:t>SweetAlert2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Toastify</w:t>
      </w:r>
      <w:r>
        <w:rPr>
          <w:rFonts w:ascii="Times New Roman" w:hAnsi="Times New Roman"/>
          <w:b w:val="0"/>
          <w:i w:val="0"/>
          <w:sz w:val="28"/>
        </w:rPr>
        <w:t xml:space="preserve"> (диалоги подтверждения и уведомления), </w:t>
      </w:r>
      <w:r>
        <w:rPr>
          <w:rFonts w:ascii="Times New Roman" w:hAnsi="Times New Roman"/>
          <w:b/>
          <w:i w:val="0"/>
          <w:sz w:val="28"/>
        </w:rPr>
        <w:t>Diff2Html</w:t>
      </w:r>
      <w:r>
        <w:rPr>
          <w:rFonts w:ascii="Times New Roman" w:hAnsi="Times New Roman"/>
          <w:b w:val="0"/>
          <w:i w:val="0"/>
          <w:sz w:val="28"/>
        </w:rPr>
        <w:t xml:space="preserve"> (визуальное сравнение версий учебного плана).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схема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включает 13 нормализованных таблиц (3NF):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Нормативные требования ФГОС ВО 3++ (общие з.е., лимит экзаменов ≤ 5, мин. объем практик ≥ 12 з.е., мин. объем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51 дисциплина УП по 8 семестрам (240 з.е., 8640 часов) с детальной разбивкой академических часов (лекции, лабораторные, практики, СРС), зачетных единиц и форм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подразделений университета (кафедры ПИ, ИСТ, ВМ, ИЯ, ОФ, Центр АНОК, Ректорат).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ролей доступа и учетные записи пользователей системы.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регламентных объявления Центра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записей журнала аудита безопасности с фиксацией IP-адресов.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Портал включает 15 функциональных страниц (13 базовых разделов и 2 модульных раздела, внедренных в рамках ЛР № 6):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Сводная аналитическая панель:</w:t>
      </w:r>
      <w:r>
        <w:rPr>
          <w:rFonts w:ascii="Times New Roman" w:hAnsi="Times New Roman"/>
          <w:b w:val="0"/>
          <w:i w:val="0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Реестр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статус согласования, формы обучения, протоколы.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Детальный просмотр учебного плана:</w:t>
      </w:r>
      <w:r>
        <w:rPr>
          <w:rFonts w:ascii="Times New Roman" w:hAnsi="Times New Roman"/>
          <w:b w:val="0"/>
          <w:i w:val="0"/>
          <w:sz w:val="28"/>
        </w:rPr>
        <w:t xml:space="preserve"> навигация по семестрам 1–8, баланс 30 з.е. и 1080 часов на семестр, формы контроля, обеспечивающие кафедры; модули DataTables, SheetJS и jsPDF.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 w:val="0"/>
          <w:i w:val="0"/>
          <w:sz w:val="28"/>
        </w:rPr>
        <w:t>analytics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Аналитика (Chart.js):</w:t>
      </w:r>
      <w:r>
        <w:rPr>
          <w:rFonts w:ascii="Times New Roman" w:hAnsi="Times New Roman"/>
          <w:b w:val="0"/>
          <w:i w:val="0"/>
          <w:sz w:val="28"/>
        </w:rPr>
        <w:t xml:space="preserve"> диаграммы структуры блоков УП, покрытия компетенций и распределения академических часов по семестрам.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 w:val="0"/>
          <w:i w:val="0"/>
          <w:sz w:val="28"/>
        </w:rPr>
        <w:t>calendar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Календарь дедлайнов (FullCalendar):</w:t>
      </w:r>
      <w:r>
        <w:rPr>
          <w:rFonts w:ascii="Times New Roman" w:hAnsi="Times New Roman"/>
          <w:b w:val="0"/>
          <w:i w:val="0"/>
          <w:sz w:val="28"/>
        </w:rPr>
        <w:t xml:space="preserve"> календарный график регламентных процедур Центра АНОК, этапов визирования и дедлайнов.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Экспертиза ФГОС ВО 3++:</w:t>
      </w:r>
      <w:r>
        <w:rPr>
          <w:rFonts w:ascii="Times New Roman" w:hAnsi="Times New Roman"/>
          <w:b w:val="0"/>
          <w:i w:val="0"/>
          <w:sz w:val="28"/>
        </w:rPr>
        <w:t xml:space="preserve"> автоматизированный контроль баланса кредитов (240 з.е.), экзаменов (макс. 4 при норме ≤ 5), практик (34 з.е. при норме ≥ 12) и ГИА (9 з.е. при норме ≥ 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Маршрут согласования и ЭЦП:</w:t>
      </w:r>
      <w:r>
        <w:rPr>
          <w:rFonts w:ascii="Times New Roman" w:hAnsi="Times New Roman"/>
          <w:b w:val="0"/>
          <w:i w:val="0"/>
          <w:sz w:val="28"/>
        </w:rPr>
        <w:t xml:space="preserve"> хронология визирования должностными лицами с криптографическими отпечатками; модули CryptoJS, SweetAlert2 и Toastify.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Служебные записки:</w:t>
      </w:r>
      <w:r>
        <w:rPr>
          <w:rFonts w:ascii="Times New Roman" w:hAnsi="Times New Roman"/>
          <w:b w:val="0"/>
          <w:i w:val="0"/>
          <w:sz w:val="28"/>
        </w:rPr>
        <w:t xml:space="preserve"> реестр изменений учебных планов между кафедрами; модуль Diff2Html для визуального сравнения версий.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Образовательные программы:</w:t>
      </w:r>
      <w:r>
        <w:rPr>
          <w:rFonts w:ascii="Times New Roman" w:hAnsi="Times New Roman"/>
          <w:b w:val="0"/>
          <w:i w:val="0"/>
          <w:sz w:val="28"/>
        </w:rPr>
        <w:t xml:space="preserve"> направления подготовки и профили.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Матрица компетенций:</w:t>
      </w:r>
      <w:r>
        <w:rPr>
          <w:rFonts w:ascii="Times New Roman" w:hAnsi="Times New Roman"/>
          <w:b w:val="0"/>
          <w:i w:val="0"/>
          <w:sz w:val="28"/>
        </w:rPr>
        <w:t xml:space="preserve"> формулировки УК, ОПК и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Стандарты ФГОС:</w:t>
      </w:r>
      <w:r>
        <w:rPr>
          <w:rFonts w:ascii="Times New Roman" w:hAnsi="Times New Roman"/>
          <w:b w:val="0"/>
          <w:i w:val="0"/>
          <w:sz w:val="28"/>
        </w:rPr>
        <w:t xml:space="preserve"> нормативная база Минобрнауки РФ.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Подразделения:</w:t>
      </w:r>
      <w:r>
        <w:rPr>
          <w:rFonts w:ascii="Times New Roman" w:hAnsi="Times New Roman"/>
          <w:b w:val="0"/>
          <w:i w:val="0"/>
          <w:sz w:val="28"/>
        </w:rPr>
        <w:t xml:space="preserve"> институты, кафедры и контакты.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Объявления и регламенты:</w:t>
      </w:r>
      <w:r>
        <w:rPr>
          <w:rFonts w:ascii="Times New Roman" w:hAnsi="Times New Roman"/>
          <w:b w:val="0"/>
          <w:i w:val="0"/>
          <w:sz w:val="28"/>
        </w:rPr>
        <w:t xml:space="preserve"> актуальная нормативная база АНОК.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14.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Журнал аудита:</w:t>
      </w:r>
      <w:r>
        <w:rPr>
          <w:rFonts w:ascii="Times New Roman" w:hAnsi="Times New Roman"/>
          <w:b w:val="0"/>
          <w:i w:val="0"/>
          <w:sz w:val="28"/>
        </w:rPr>
        <w:t xml:space="preserve"> протокол событий безопасности с поисковой строкой.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15.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Карта сайта:</w:t>
      </w:r>
      <w:r>
        <w:rPr>
          <w:rFonts w:ascii="Times New Roman" w:hAnsi="Times New Roman"/>
          <w:b w:val="0"/>
          <w:i w:val="0"/>
          <w:sz w:val="28"/>
        </w:rPr>
        <w:t xml:space="preserve"> дерево всех разделов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Портал автоматически инициализирует базу данных </w:t>
      </w:r>
      <w:r>
        <w:rPr>
          <w:rFonts w:ascii="Courier New" w:hAnsi="Courier New"/>
          <w:b w:val="0"/>
          <w:i w:val="0"/>
          <w:sz w:val="28"/>
        </w:rPr>
        <w:t>portal/portal.db</w:t>
      </w:r>
      <w:r>
        <w:rPr>
          <w:rFonts w:ascii="Times New Roman" w:hAnsi="Times New Roman"/>
          <w:b w:val="0"/>
          <w:i w:val="0"/>
          <w:sz w:val="28"/>
        </w:rPr>
        <w:t xml:space="preserve"> и становится доступен по адресу </w:t>
      </w:r>
      <w:r>
        <w:rPr>
          <w:rFonts w:ascii="Courier New" w:hAnsi="Courier New"/>
          <w:b w:val="0"/>
          <w:i w:val="0"/>
          <w:sz w:val="28"/>
        </w:rPr>
        <w:t>http://localhost:8000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