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276" w:lineRule="auto"/>
        <w:jc w:val="center"/>
      </w:pPr>
      <w:r>
        <w:rPr>
          <w:rFonts w:ascii="Times New Roman" w:hAnsi="Times New Roman"/>
          <w:b/>
          <w:sz w:val="24"/>
        </w:rPr>
        <w:t>МИНИСТЕРСТВО НАУКИ И ВЫСШЕГО ОБРАЗОВАНИЯ РОССИЙСКОЙ ФЕДЕРАЦИИ</w:t>
        <w:br/>
        <w:t>ФЕДЕРАЛЬНОЕ ГОСУДАРСТВЕННОЕ АВТОНОМНОЕ ОБРАЗОВАТЕЛЬНОЕ УЧРЕЖДЕНИЕ</w:t>
        <w:br/>
        <w:t>ВЫСШЕГО ОБРАЗОВАНИЯ</w:t>
        <w:br/>
        <w:t>«НАЦИОНАЛЬНЫЙ ИССЛЕДОВАТЕЛЬСКИЙ УНИВЕРСИТЕТ»</w:t>
        <w:br/>
        <w:br/>
        <w:t>Факультет информационных технологий</w:t>
        <w:br/>
        <w:t>Кафедра программной инженерии</w:t>
      </w:r>
    </w:p>
    <w:p/>
    <w:p/>
    <w:p/>
    <w:p/>
    <w:p>
      <w:pPr>
        <w:spacing w:after="120"/>
        <w:jc w:val="center"/>
      </w:pPr>
      <w:r>
        <w:rPr>
          <w:rFonts w:ascii="Times New Roman" w:hAnsi="Times New Roman"/>
          <w:b/>
          <w:sz w:val="32"/>
        </w:rPr>
        <w:t>ОТЧЕТ ПО ЛАБОРАТОРНОЙ РАБОТЕ № 1</w:t>
        <w:br/>
      </w:r>
    </w:p>
    <w:p>
      <w:pPr>
        <w:jc w:val="center"/>
      </w:pPr>
      <w:r>
        <w:rPr>
          <w:rFonts w:ascii="Times New Roman" w:hAnsi="Times New Roman"/>
          <w:sz w:val="28"/>
        </w:rPr>
        <w:t>по дисциплине: «Практикум по разработке корпоративного портала»</w:t>
        <w:br/>
        <w:br/>
      </w:r>
      <w:r>
        <w:rPr>
          <w:rFonts w:ascii="Times New Roman" w:hAnsi="Times New Roman"/>
          <w:b/>
          <w:sz w:val="28"/>
        </w:rPr>
        <w:t>Тема: «Выявление требований к порталу и составление их формализованного описания. Выбор инструментального средства для создания портала»</w:t>
        <w:br/>
        <w:t>Вариант № 15: «Университет. Центр аккредитации и независимой оценки качества образования (АНОК)»</w:t>
      </w:r>
    </w:p>
    <w:p/>
    <w:p/>
    <w:p/>
    <w:p/>
    <w:p/>
    <w:p>
      <w:pPr>
        <w:spacing w:line="276" w:lineRule="auto"/>
        <w:jc w:val="right"/>
      </w:pPr>
      <w:r>
        <w:rPr>
          <w:rFonts w:ascii="Times New Roman" w:hAnsi="Times New Roman"/>
          <w:sz w:val="26"/>
        </w:rPr>
        <w:t>Выполнил:</w:t>
        <w:br/>
        <w:t>студент группы П-41</w:t>
        <w:br/>
        <w:t>Соловьёв А.С.</w:t>
        <w:br/>
      </w:r>
    </w:p>
    <w:p/>
    <w:p/>
    <w:p/>
    <w:p/>
    <w:p>
      <w:pPr>
        <w:jc w:val="center"/>
      </w:pPr>
      <w:r>
        <w:rPr>
          <w:rFonts w:ascii="Times New Roman" w:hAnsi="Times New Roman"/>
          <w:sz w:val="24"/>
        </w:rPr>
        <w:t>Москва, 2026 г.</w:t>
      </w:r>
    </w:p>
    <w:p>
      <w:r>
        <w:br w:type="page"/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1. Предметная область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Центр АНОК проверяет учебные планы образовательных программ университета. Учебный план содержит перечень дисциплин, семестры, трудоёмкость, часы, формы контроля и подразделения, отвечающие за дисциплины.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Портал предназначен для хранения этих сведений и предоставления к ним удобного доступа сотрудникам Центра АНОК и подразделений университета. В учебном прототипе данные хранятся в локальной базе SQLite, а работа с ними выполняется через веб-интерфейс.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2. Основные процессы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sz w:val="28"/>
        </w:rPr>
        <w:t>Выпускающее подразделение подготавливает учебный план.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sz w:val="28"/>
        </w:rPr>
        <w:t>План передаётся в АНОК на проверку.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Times New Roman" w:hAnsi="Times New Roman"/>
          <w:sz w:val="28"/>
        </w:rPr>
        <w:t>Сотрудник АНОК просматривает структуру плана и проверяет основные показатели: общий объём, распределение по семестрам, блоки дисциплин, практику и ГИА.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4. </w:t>
      </w:r>
      <w:r>
        <w:rPr>
          <w:rFonts w:ascii="Times New Roman" w:hAnsi="Times New Roman"/>
          <w:sz w:val="28"/>
        </w:rPr>
        <w:t>По результатам проверки фиксируется состояние плана и замечания.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5. </w:t>
      </w:r>
      <w:r>
        <w:rPr>
          <w:rFonts w:ascii="Times New Roman" w:hAnsi="Times New Roman"/>
          <w:sz w:val="28"/>
        </w:rPr>
        <w:t>План может быть передан на согласование и утверждение.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6. </w:t>
      </w:r>
      <w:r>
        <w:rPr>
          <w:rFonts w:ascii="Times New Roman" w:hAnsi="Times New Roman"/>
          <w:sz w:val="28"/>
        </w:rPr>
        <w:t>При необходимости изменения оформляются служебной запиской с указанием прежних и новых значений.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7. </w:t>
      </w:r>
      <w:r>
        <w:rPr>
          <w:rFonts w:ascii="Times New Roman" w:hAnsi="Times New Roman"/>
          <w:sz w:val="28"/>
        </w:rPr>
        <w:t>Утверждённые планы доступны для просмотра пользователям портала.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В рамках учебного прототипа реализуются хранение и просмотр данных, страницы проверки, согласования, служебных записок и справочников. Полноценная юридически значимая электронная подпись, подключение внешней системы университета и промышленная ролевая инфраструктура в прототип не входят.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3. Акторы системы</w:t>
      </w:r>
    </w:p>
    <w:p>
      <w:pPr>
        <w:spacing w:before="160" w:after="80"/>
        <w:ind w:firstLine="709"/>
        <w:jc w:val="left"/>
      </w:pPr>
      <w:r>
        <w:rPr>
          <w:rFonts w:ascii="Times New Roman" w:hAnsi="Times New Roman"/>
          <w:b/>
          <w:sz w:val="24"/>
        </w:rPr>
        <w:t>Таблица 1 — Спецификация данных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single" w:sz="4" w:space="0" w:color="CBD5E1"/>
          <w:right w:val="single" w:sz="4" w:space="0" w:color="CBD5E1"/>
        </w:tblBorders>
      </w:tblPr>
      <w:tblGrid>
        <w:gridCol w:w="4677"/>
        <w:gridCol w:w="4677"/>
      </w:tblGrid>
      <w:tr>
        <w:tc>
          <w:tcPr>
            <w:tcW w:type="dxa" w:w="4677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Актор</w:t>
            </w:r>
          </w:p>
        </w:tc>
        <w:tc>
          <w:tcPr>
            <w:tcW w:type="dxa" w:w="4677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Назначение</w:t>
            </w:r>
          </w:p>
        </w:tc>
      </w:tr>
      <w:tr>
        <w:tc>
          <w:tcPr>
            <w:tcW w:type="dxa" w:w="467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Сотрудник выпускающего подразделения</w:t>
            </w:r>
          </w:p>
        </w:tc>
        <w:tc>
          <w:tcPr>
            <w:tcW w:type="dxa" w:w="467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Подготавливает учебный план и служебную записку на изменение.</w:t>
            </w:r>
          </w:p>
        </w:tc>
      </w:tr>
      <w:tr>
        <w:tc>
          <w:tcPr>
            <w:tcW w:type="dxa" w:w="467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Сотрудник реализующего подразделения</w:t>
            </w:r>
          </w:p>
        </w:tc>
        <w:tc>
          <w:tcPr>
            <w:tcW w:type="dxa" w:w="467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Проверяет изменения, относящиеся к закреплённым дисциплинам.</w:t>
            </w:r>
          </w:p>
        </w:tc>
      </w:tr>
      <w:tr>
        <w:tc>
          <w:tcPr>
            <w:tcW w:type="dxa" w:w="467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Эксперт АНОК</w:t>
            </w:r>
          </w:p>
        </w:tc>
        <w:tc>
          <w:tcPr>
            <w:tcW w:type="dxa" w:w="467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Проверяет учебный план и фиксирует результат проверки.</w:t>
            </w:r>
          </w:p>
        </w:tc>
      </w:tr>
      <w:tr>
        <w:tc>
          <w:tcPr>
            <w:tcW w:type="dxa" w:w="467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Руководитель АНОК</w:t>
            </w:r>
          </w:p>
        </w:tc>
        <w:tc>
          <w:tcPr>
            <w:tcW w:type="dxa" w:w="467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Рассматривает результаты экспертизы.</w:t>
            </w:r>
          </w:p>
        </w:tc>
      </w:tr>
      <w:tr>
        <w:tc>
          <w:tcPr>
            <w:tcW w:type="dxa" w:w="467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Проректор по учебной работе</w:t>
            </w:r>
          </w:p>
        </w:tc>
        <w:tc>
          <w:tcPr>
            <w:tcW w:type="dxa" w:w="467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Участвует в согласовании учебного плана.</w:t>
            </w:r>
          </w:p>
        </w:tc>
      </w:tr>
      <w:tr>
        <w:tc>
          <w:tcPr>
            <w:tcW w:type="dxa" w:w="467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Секретарь Ученого совета</w:t>
            </w:r>
          </w:p>
        </w:tc>
        <w:tc>
          <w:tcPr>
            <w:tcW w:type="dxa" w:w="467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Фиксирует сведения о рассмотрении плана.</w:t>
            </w:r>
          </w:p>
        </w:tc>
      </w:tr>
      <w:tr>
        <w:tc>
          <w:tcPr>
            <w:tcW w:type="dxa" w:w="467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Ректор</w:t>
            </w:r>
          </w:p>
        </w:tc>
        <w:tc>
          <w:tcPr>
            <w:tcW w:type="dxa" w:w="467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Утверждает учебный план.</w:t>
            </w:r>
          </w:p>
        </w:tc>
      </w:tr>
      <w:tr>
        <w:tc>
          <w:tcPr>
            <w:tcW w:type="dxa" w:w="467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Студент или преподаватель</w:t>
            </w:r>
          </w:p>
        </w:tc>
        <w:tc>
          <w:tcPr>
            <w:tcW w:type="dxa" w:w="467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Просматривает утверждённые учебные планы.</w:t>
            </w:r>
          </w:p>
        </w:tc>
      </w:tr>
      <w:tr>
        <w:tc>
          <w:tcPr>
            <w:tcW w:type="dxa" w:w="467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Администратор</w:t>
            </w:r>
          </w:p>
        </w:tc>
        <w:tc>
          <w:tcPr>
            <w:tcW w:type="dxa" w:w="467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Поддерживает справочники и данные портала.</w:t>
            </w:r>
          </w:p>
        </w:tc>
      </w:tr>
    </w:tbl>
    <w:p>
      <w:pPr>
        <w:spacing w:after="120"/>
      </w:pP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4. Варианты использования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Диаграмма вариантов использования приведена на рисунке.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41819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_case_diagra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181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1 — Диаграмма вариантов использования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UC-1. Просмотр учебного плана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Актор:</w:t>
      </w:r>
      <w:r>
        <w:rPr>
          <w:rFonts w:ascii="Times New Roman" w:hAnsi="Times New Roman"/>
          <w:sz w:val="28"/>
        </w:rPr>
        <w:t xml:space="preserve"> сотрудник университета, эксперт АНОК, студент или преподаватель. </w:t>
      </w:r>
      <w:r>
        <w:rPr>
          <w:rFonts w:ascii="Times New Roman" w:hAnsi="Times New Roman"/>
          <w:b/>
          <w:sz w:val="28"/>
        </w:rPr>
        <w:t>Результат:</w:t>
      </w:r>
      <w:r>
        <w:rPr>
          <w:rFonts w:ascii="Times New Roman" w:hAnsi="Times New Roman"/>
          <w:sz w:val="28"/>
        </w:rPr>
        <w:t xml:space="preserve"> пользователь видит сведения об образовательной программе, статусе плана и дисциплинах по семестрам.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UC-2. Проверка учебного плана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Актор:</w:t>
      </w:r>
      <w:r>
        <w:rPr>
          <w:rFonts w:ascii="Times New Roman" w:hAnsi="Times New Roman"/>
          <w:sz w:val="28"/>
        </w:rPr>
        <w:t xml:space="preserve"> эксперт АНОК. </w:t>
      </w:r>
      <w:r>
        <w:rPr>
          <w:rFonts w:ascii="Times New Roman" w:hAnsi="Times New Roman"/>
          <w:b/>
          <w:sz w:val="28"/>
        </w:rPr>
        <w:t>Результат:</w:t>
      </w:r>
      <w:r>
        <w:rPr>
          <w:rFonts w:ascii="Times New Roman" w:hAnsi="Times New Roman"/>
          <w:sz w:val="28"/>
        </w:rPr>
        <w:t xml:space="preserve"> пользователь получает сведения о контрольных показателях плана и фиксирует результат проверки.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UC-3. Просмотр маршрута согласования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Актор:</w:t>
      </w:r>
      <w:r>
        <w:rPr>
          <w:rFonts w:ascii="Times New Roman" w:hAnsi="Times New Roman"/>
          <w:sz w:val="28"/>
        </w:rPr>
        <w:t xml:space="preserve"> участник согласования. </w:t>
      </w:r>
      <w:r>
        <w:rPr>
          <w:rFonts w:ascii="Times New Roman" w:hAnsi="Times New Roman"/>
          <w:b/>
          <w:sz w:val="28"/>
        </w:rPr>
        <w:t>Результат:</w:t>
      </w:r>
      <w:r>
        <w:rPr>
          <w:rFonts w:ascii="Times New Roman" w:hAnsi="Times New Roman"/>
          <w:sz w:val="28"/>
        </w:rPr>
        <w:t xml:space="preserve"> пользователь видит этапы согласования, ответственных лиц и состояние каждого этапа.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UC-4. Работа со служебной запиской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Актор:</w:t>
      </w:r>
      <w:r>
        <w:rPr>
          <w:rFonts w:ascii="Times New Roman" w:hAnsi="Times New Roman"/>
          <w:sz w:val="28"/>
        </w:rPr>
        <w:t xml:space="preserve"> выпускающее или реализующее подразделение, сотрудник АНОК. </w:t>
      </w:r>
      <w:r>
        <w:rPr>
          <w:rFonts w:ascii="Times New Roman" w:hAnsi="Times New Roman"/>
          <w:b/>
          <w:sz w:val="28"/>
        </w:rPr>
        <w:t>Результат:</w:t>
      </w:r>
      <w:r>
        <w:rPr>
          <w:rFonts w:ascii="Times New Roman" w:hAnsi="Times New Roman"/>
          <w:sz w:val="28"/>
        </w:rPr>
        <w:t xml:space="preserve"> пользователь видит причину изменения и значения «Было» / «Стало».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UC-5. Работа со справочниками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Актор:</w:t>
      </w:r>
      <w:r>
        <w:rPr>
          <w:rFonts w:ascii="Times New Roman" w:hAnsi="Times New Roman"/>
          <w:sz w:val="28"/>
        </w:rPr>
        <w:t xml:space="preserve"> администратор или сотрудник АНОК. </w:t>
      </w:r>
      <w:r>
        <w:rPr>
          <w:rFonts w:ascii="Times New Roman" w:hAnsi="Times New Roman"/>
          <w:b/>
          <w:sz w:val="28"/>
        </w:rPr>
        <w:t>Результат:</w:t>
      </w:r>
      <w:r>
        <w:rPr>
          <w:rFonts w:ascii="Times New Roman" w:hAnsi="Times New Roman"/>
          <w:sz w:val="28"/>
        </w:rPr>
        <w:t xml:space="preserve"> пользователь просматривает стандарты ФГОС, образовательные программы, подразделения и компетенции.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5. Функциональные требования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FR-1. Учебные планы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FR-1.1. Портал должен хранить учебные планы и связывать их с образовательными программами.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FR-1.2. Для плана должны храниться учебный год, версия, статус и общий объём.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FR-1.3. Для дисциплины должны храниться блок, название, семестр, зачётные единицы, часы, форма контроля и ответственное подразделение.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FR-1.4. Пользователь должен иметь возможность просматривать план целиком или по выбранному семестру.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FR-2. Проверка ФГОС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FR-2.1. Портал должен хранить параметры стандарта ФГОС.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FR-2.2. На странице проверки должны отображаться основные показатели учебного плана.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FR-2.3. Результат проверки должен быть представлен в виде состояния и перечня замечаний.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FR-3. Согласование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FR-3.1. Для учебного плана должны быть предусмотрены состояния от черновика до утверждения.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FR-3.2. Для каждого этапа должны отображаться ответственный и состояние этапа.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FR-3.3. Портал должен хранить сведения о выполненных этапах согласования.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FR-4. Служебные записки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FR-4.1. Служебная записка должна быть связана с учебным планом.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FR-4.2. В записке должны храниться номер, дата, причина и подразделения-участники.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FR-4.3. Изменение должно описываться прежним и новым значением.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FR-4.4. Для записки должен отображаться статус обработки.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FR-5. Справочники и аудит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FR-5.1. Портал должен предоставлять просмотр стандартов ФГОС, образовательных программ, подразделений и компетенций.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FR-5.2. Портал должен хранить сведения о действиях и событиях, относящихся к работе с документами.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6. Нефункциональные требования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NFR-1. Приложение должно запускаться локально без отдельного сервера базы данных.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NFR-2. Данные должны храниться в SQLite с внешними ключами и связями между основными сущностями.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NFR-3. Веб-интерфейс должен корректно отображаться на компьютере и мобильном устройстве.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NFR-4. Страницы просмотра должны открываться без длительного ожидания на учебном наборе данных.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NFR-5. Приложение должно использовать параметризованные SQL-запросы и экранирование выводимых значений.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NFR-6. Структура приложения должна позволять в дальнейшем заменить SQLite на серверную СУБД без изменения предметной модели.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7. Выбор инструментального средства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Для учебной реализации выбран следующий стек: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Python 3;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Flask;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SQLite;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HTML и шаблоны Jinja2;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CSS и готовые визуальные классы интерфейса.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SQLite выбран потому, что это встроенная файловая СУБД, не требующая отдельной установки и настройки сервера. База переносится вместе с проектом одним файлом, что удобно для лабораторной работы и проверки результата. SQLite поддерживает таблицы, индексы, внешние ключи и транзакции, поэтому достаточен для учебного прототипа портала.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Flask выбран как небольшой веб-фреймворк с понятной маршрутизацией и минимальным количеством обязательных компонентов. Это позволяет сосредоточиться на предметной области и получить запускаемый результат без лишней инфраструктуры.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Выбранный стек предназначен именно для учебного прототипа. Для промышленной эксплуатации потребовались бы отдельные меры по авторизации, резервному копированию, нагрузке и подключению серверной СУБД.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Заключение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В работе описана предметная область Центра АНОК, определены акторы и основные варианты использования, сформированы функциональные и нефункциональные требования. Для реализации учебного прототипа выбран стек Python, Flask и SQLite. Выбор позволяет получить простой, переносимый и проверяемый результат без отдельного сервера базы данных и без функций, которые не реализуются в рамках данной лабораторной работы.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2"/>
      </w:rPr>
      <w:fldChar w:fldCharType="begin"/>
      <w:instrText xml:space="preserve">PAGE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