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3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«Создание шаблона дизайна портала и главных пользовательских интерфейсов»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Разработать модульный шаблон дизайна корпоративного портала Центра АНОК (включая компоновку страницы, сеточную структуру, цветовую палитру, типографику, адаптивные правила) и спроектировать главные пользовательские интерфейсы (ГПИ) для всех ключевых сценариев взаимодействия сотрудников университета.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Разработка шаблона дизайна портала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Шаблон дизайна корпоративного портала Центра АНОК построен на основе современных принципов чистого, контрастного и функционального академического UI/UX дизайна: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873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_wirefra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Шаблон интерфейса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2.1. Анатомия разметки страницы (Page Layout)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Заголовочная часть (Header, высота 60px):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Закреплена в верхней части экрана (`position: sticky; top: 0; z-index: 100`).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Фирменный логотип Центра АНОК с монограммой «А».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Наименование: «УНИВЕРСИТЕТ · Центр АНОК (Автоматизированная настройка образовательного контента)».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Профиль текущего авторизованного пользователя с аватаром (Эксперт АНОК Соловьёв А.С.).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Боковая навигационная панель (Sidebar Navigation, ширина 240px):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Темный фон (`#1e293b`), обеспечивающий четкое визуальное разделение навигации и контента.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12 разделов меню с визуальными пиктограммами и текстовыми метками.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Индикация активного пункта меню с акцентной синей подсветкой и тенью (`#2563eb`).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Основная рабочая область (Main Content Area):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Максимальная ширина 1200px с комфортными отступами (`padding: 32px`).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Заголовок страницы (`h1`), подзаголовок с кратким описанием раздела.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Сетка аналитических карточек метрик (Grid layout).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Табличные контейнеры данных со скруглением углов (`border-radius: 10px`), мягкой тенью и горизонтальной прокруткой для таблиц с большим числом колонок.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Нижняя часть / футер (Footer):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Встроенная информационная строка статуса синхронизации и версии системы.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2.2. Цветовое решение и дизайн-токены (Design Tokens)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873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palette_typograph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Палитра и типографика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Элемент / Токен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Hex-код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Назначение в интерфейсе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`--bg-header`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`#0f172a`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Темно-синий/графитовый цвет шапки (Slate-900)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`--bg-sidebar`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`#1e293b`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Темно-серый цвет навигационной панели (Slate-800)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`--page-bg`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`#f8fafc`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Светло-серый нейтральный фон страниц (Slate-50)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`--card-bg`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`#ffffff`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Чистый белый фон карточек и таблиц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`--primary`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`#2563eb`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Акцентный синий цвет (кнопки, активные ссылки, фокус)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`--primary-hover`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`#1d4ed8`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Состояние наведения интерактивных элементов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`--text-main`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`#0f172a` / `#1e293b`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Основной высококонтрастный текст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`--text-muted`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`#64748b`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Второстепенный поясняющий текст и метаданные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`--border`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`#e2e8f0`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Тонкие разделительные линии таблиц и карточек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`--badge-green`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`#dcfce7` / `#15803d`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Статусы: «Утверждено», «Подписано», «Успешно»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`--badge-blue`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`#dbeafe` / `#1d4ed8`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Статусы: «Обновлено», «Создано», базовые теги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`--badge-purple`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`#f3e8ff` / `#7e22ce`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Статусы: «На экспертизе в АНОК», «Закреплено»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`--badge-yellow`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`#fef3c7` / `#b45309`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Статусы: «На согласовании», «В процессе»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`--badge-red`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`#fee2e2` / `#b91c1c`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Статусы: «Ошибка», «Замечание ФГОС»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2.3. Типографика и шрифтовая шкала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Шрифтовой стек:</w:t>
      </w:r>
      <w:r>
        <w:rPr>
          <w:rFonts w:ascii="Times New Roman" w:hAnsi="Times New Roman"/>
          <w:sz w:val="28"/>
        </w:rPr>
        <w:t xml:space="preserve"> системный стек шрифтов без внешних веб-зависимостей: `-apple-system, BlinkMacSystemFont, "Segoe UI", Roboto, "Helvetica Neue", Arial, sans-serif`.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Иерархия размеров шрифтов: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Заголовок раздела `h1`: 24px, жирный (`font-weight: 700`), цвет `#0f172a`.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Подзаголовок `h2`: 18px, полужирный (`font-weight: 600`), цвет `#1e293b`.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Числовые метрики карточек: 32px, сверхжирный (`font-weight: 800`), цвет `#0f172a`.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Основной текст: 14px, нормальный (`line-height: 1.5`), цвет `#1e293b`.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Заголовки таблиц `th`: 12px, прописные буквы, полужирный (`font-weight: 600`), цвет `#475569`.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Метаданные и сноски: 12px / 13px, цвет `#64748b`.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Моноширинные коды (хэши, блоки): `font-family: monospace; font-size: 11px/12px`.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2.4. Адаптивные правила (Responsive Design)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При уменьшении ширины экрана ($\le 768px$):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Боковое меню компактно сворачивается в полосу шириной 70px с центрированными иконками.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Таблицы автоматически получают горизонтальную полосу прокрутки (`overflow-x: auto`), предотвращая искажение контента.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Карточки сводной панели перестраиваются в одноколоночную сетку.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Главные пользовательские интерфейсы (ГПИ)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рамках лабораторной работы спроектированы и реализованы 5 главных пользовательских интерфейсов: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ГПИ-1: Сводная аналитическая панель (Dashboard)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Сводная панель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4 интерактивные карточки верхнего уровня (Учебные планы, Дисциплины, Стандарты ФГОС, Служебные записки).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Сводный реестр учебных планов с быстрым переходом к детальному просмотру.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Лента важных объявлений и регламентов Центра АНОК.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ГПИ-2: Просмотр и навигация по учебному плану (Curriculum Viewer)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curriculum_edi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Учебный план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Карточка паспорта образовательной программы (код 09.03.04, уровень «Бакалавриат», форма «Очная», общая трудоемкость 240 з.е., выпускающая кафедра).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Навигационная панель переключения семестров (кнопки «Семестр 1» ... «Семестр 8»).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Информационная плашка семестрового баланса: количество дисциплин, сумма зачетных единиц (норма 30 з.е.), сумма часов (1080 ч.) с разбивкой на лекции, лабораторные, практики и СРС.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Детализированная таблица дисциплин семестра с блоками (Б1.О, Б1.В, Б2, Б3, ФТД), формами контроля и обеспечивающими кафедрами.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3.3. ГПИ-3: Модуль автоматизированной экспертизы ФГОС (FGOS Validation)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fgos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Проверка ФГОС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Сводная карточка результатов верификации: 5 критериев соответствия ФГОС ВО 3++ (общая трудоемкость, баланс семестров, лимит экзаменов $\le 5$, практики $\ge 12$ з.е., ГИА $\ge 6$ з.е.).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Таблица действующих образовательных стандартов высшего образования.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3.4. ГПИ-4: Маршрут электронного согласования и ЭЦП (Sign Workflow)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ign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Согласование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Хронологическая цепочка 4 этапов визирования УП.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Отображение ролей, ФИО подписантов, даты и времени наложения визы, экспертных комментариев и криптографических SHA-256 хэшей подписи.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3.5. ГПИ-5: Управление служебными записками (Service Notes)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ervice_no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Служебные записки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Реестр служебных записок на корректировку параметров плана с фиксацией инициатора, согласующей кафедры, причины изменений и статуса обработки в АНОК.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рамках лабораторной работы № 3 разработан адаптивный модульный шаблон дизайна корпоративного портала Центра АНОК, сформирована таблица дизайн-токенов и цветовой палитры, определены типографические стандарты и реализованы 5 главных пользовательских интерфейсов.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