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3000" w:after="240" w:line="240" w:lineRule="auto"/>
        <w:jc w:val="center"/>
      </w:pPr>
      <w:r>
        <w:rPr>
          <w:rFonts w:ascii="Times New Roman" w:hAnsi="Times New Roman"/>
          <w:b/>
          <w:sz w:val="32"/>
        </w:rPr>
        <w:t>ОТЧЕТ ПО ЛАБОРАТОРНОЙ РАБОТЕ № 1</w:t>
      </w:r>
    </w:p>
    <w:p>
      <w:pPr>
        <w:keepLines/>
        <w:spacing w:before="0" w:after="360" w:line="240" w:lineRule="auto"/>
        <w:jc w:val="center"/>
      </w:pPr>
      <w:r>
        <w:rPr>
          <w:rFonts w:ascii="Times New Roman" w:hAnsi="Times New Roman"/>
          <w:b w:val="0"/>
          <w:sz w:val="28"/>
        </w:rPr>
        <w:t>по дисциплине: «Практикум по разработке корпоративного портала»</w:t>
      </w:r>
    </w:p>
    <w:p>
      <w:pPr>
        <w:keepLines/>
        <w:spacing w:before="0" w:after="120" w:line="240" w:lineRule="auto"/>
        <w:jc w:val="center"/>
      </w:pPr>
      <w:r>
        <w:rPr>
          <w:rFonts w:ascii="Times New Roman" w:hAnsi="Times New Roman"/>
          <w:b/>
          <w:sz w:val="28"/>
        </w:rPr>
        <w:t>Тема: «Выявление требований к порталу и составление их формализованного описания. Выбор инструментального средства для создания портала»</w:t>
      </w:r>
    </w:p>
    <w:p>
      <w:pPr>
        <w:keepLines/>
        <w:spacing w:before="0" w:after="0" w:line="240" w:lineRule="auto"/>
        <w:jc w:val="center"/>
      </w:pPr>
      <w:r>
        <w:rPr>
          <w:rFonts w:ascii="Times New Roman" w:hAnsi="Times New Roman"/>
          <w:b/>
          <w:sz w:val="28"/>
        </w:rPr>
        <w:t>Вариант № 15: «Университет. Центр аккредитации и независимой оценки качества образования (АНОК)»</w:t>
      </w:r>
    </w:p>
    <w:p>
      <w:pPr>
        <w:keepLines/>
        <w:spacing w:before="1680" w:after="0" w:line="276" w:lineRule="auto"/>
        <w:jc w:val="right"/>
      </w:pPr>
      <w:r>
        <w:rPr>
          <w:rFonts w:ascii="Times New Roman" w:hAnsi="Times New Roman"/>
          <w:b w:val="0"/>
          <w:sz w:val="26"/>
        </w:rPr>
        <w:t>Выполнил:</w:t>
        <w:br/>
        <w:t>студент группы П-41</w:t>
        <w:br/>
        <w:t>Соловьёв А.С.</w:t>
      </w:r>
    </w:p>
    <w:p>
      <w:pPr>
        <w:keepLines/>
        <w:spacing w:before="1920" w:after="0" w:line="240" w:lineRule="auto"/>
        <w:jc w:val="center"/>
      </w:pPr>
      <w:r>
        <w:rPr>
          <w:rFonts w:ascii="Times New Roman" w:hAnsi="Times New Roman"/>
          <w:b w:val="0"/>
          <w:sz w:val="24"/>
        </w:rPr>
        <w:t>Москва, 2026 г.</w:t>
      </w:r>
    </w:p>
    <w:p>
      <w:pPr>
        <w:keepNext/>
        <w:keepLines/>
        <w:pageBreakBefore/>
        <w:widowControl/>
        <w:spacing w:before="240" w:after="120"/>
        <w:jc w:val="left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Целью лабораторной работы является исследование предметной области Центра аккредитации и независимой оценки качества образования университета (Центр АНОК), выявление и формализация функциональных и нефункциональных требований к корпоративному порталу, разработка диаграммы вариантов использования (Use Case Diagram), а также проведение сравнительного анализа и обоснование выбора инструментального программного стека на основе бесплатного ПО с поддержкой PHP и реляционной СУБД MySQL/MariaDB (SQLite).</w:t>
      </w:r>
    </w:p>
    <w:p>
      <w:pPr>
        <w:keepNext/>
        <w:keepLines/>
        <w:pageBreakBefore/>
        <w:widowControl/>
        <w:spacing w:before="240" w:after="120"/>
        <w:jc w:val="left"/>
      </w:pPr>
      <w:r>
        <w:rPr>
          <w:rFonts w:ascii="Times New Roman" w:hAnsi="Times New Roman"/>
          <w:b/>
          <w:sz w:val="28"/>
        </w:rPr>
        <w:t>2. Описание предметной области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Центр АНОК выполняет ключевую роль в обеспечении соответствия образовательной деятельности университета требованиям Федеральных государственных образовательных стандартов высшего образования (ФГОС ВО 3++), локальных нормативных актов и регламентов аккредитационной экспертизы.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Ключевым объектом автоматизации является </w:t>
      </w:r>
      <w:r>
        <w:rPr>
          <w:rFonts w:ascii="Times New Roman" w:hAnsi="Times New Roman"/>
          <w:b/>
          <w:i w:val="0"/>
          <w:sz w:val="28"/>
        </w:rPr>
        <w:t>Учебный план (УП)</w:t>
      </w:r>
      <w:r>
        <w:rPr>
          <w:rFonts w:ascii="Times New Roman" w:hAnsi="Times New Roman"/>
          <w:b w:val="0"/>
          <w:i w:val="0"/>
          <w:sz w:val="28"/>
        </w:rPr>
        <w:t xml:space="preserve"> образовательной программы высшего образования, представляющий собой сложную структурированную сетку дисциплин, практик и государственной итоговой аттестации (ГИА), распределенных по семестрам с фиксацией академических часов (лекции, лабораторные, практические, самостоятельная работа студента — СРС), зачетных единиц (з.е.) и форм промежуточного контроля (экзамен, зачет, зачет с оценкой, курсовой проект/работа).</w:t>
      </w:r>
    </w:p>
    <w:p>
      <w:pPr>
        <w:keepNext/>
        <w:keepLines/>
        <w:widowControl/>
        <w:spacing w:before="160" w:after="80"/>
        <w:jc w:val="left"/>
      </w:pPr>
      <w:r>
        <w:rPr>
          <w:rFonts w:ascii="Times New Roman" w:hAnsi="Times New Roman"/>
          <w:b/>
          <w:sz w:val="26"/>
        </w:rPr>
        <w:t>Основные бизнес-процессы Центра АНОК: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i w:val="0"/>
          <w:sz w:val="28"/>
        </w:rPr>
        <w:t>Инициация и разработка проекта УП:</w:t>
      </w:r>
      <w:r>
        <w:rPr>
          <w:rFonts w:ascii="Times New Roman" w:hAnsi="Times New Roman"/>
          <w:b w:val="0"/>
          <w:i w:val="0"/>
          <w:sz w:val="28"/>
        </w:rPr>
        <w:t xml:space="preserve"> Выпускающие кафедры формируют проект учебного плана образовательной программы бакалавриата (240 з.е.) или магистратуры (120 з.е.).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i w:val="0"/>
          <w:sz w:val="28"/>
        </w:rPr>
        <w:t>Экспертиза и автоматическая валидация:</w:t>
      </w:r>
      <w:r>
        <w:rPr>
          <w:rFonts w:ascii="Times New Roman" w:hAnsi="Times New Roman"/>
          <w:b w:val="0"/>
          <w:i w:val="0"/>
          <w:sz w:val="28"/>
        </w:rPr>
        <w:t xml:space="preserve"> Центр АНОК выполняет проверку плана на выполнение обязательных ограничений ФГОС ВО 3++:</w:t>
      </w:r>
    </w:p>
    <w:p>
      <w:pPr>
        <w:keepLines/>
        <w:widowControl/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Суммарная трудоемкость программы (240 з.е. для бакалавриата, ровно 30 з.е. в каждом семестре);</w:t>
      </w:r>
    </w:p>
    <w:p>
      <w:pPr>
        <w:keepLines/>
        <w:widowControl/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Количество экзаменов в одну экзаменационную сессию (≤ 5 экзаменов);</w:t>
      </w:r>
    </w:p>
    <w:p>
      <w:pPr>
        <w:keepLines/>
        <w:widowControl/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Объем практической подготовки (≥ 12 з.е.);</w:t>
      </w:r>
    </w:p>
    <w:p>
      <w:pPr>
        <w:keepLines/>
        <w:widowControl/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Объем государственной итоговой аттестации (≥ 6 з.е.);</w:t>
      </w:r>
    </w:p>
    <w:p>
      <w:pPr>
        <w:keepLines/>
        <w:widowControl/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Корректность закрепления дисциплин за обеспечивающими кафедрами.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/>
          <w:i w:val="0"/>
          <w:sz w:val="28"/>
        </w:rPr>
        <w:t>Маршрут согласования и утверждения:</w:t>
      </w:r>
      <w:r>
        <w:rPr>
          <w:rFonts w:ascii="Times New Roman" w:hAnsi="Times New Roman"/>
          <w:b w:val="0"/>
          <w:i w:val="0"/>
          <w:sz w:val="28"/>
        </w:rPr>
        <w:t xml:space="preserve"> Проект УП последовательно визируется: Заведующий выпускающей кафедрой → Эксперт/Начальник АНОК → Проректор по учебной работе → Ректор университета с фиксацией номера и даты протокола Ученого совета.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b/>
          <w:i w:val="0"/>
          <w:sz w:val="28"/>
        </w:rPr>
        <w:t>Внесение оперативных изменений (Служебные записки):</w:t>
      </w:r>
      <w:r>
        <w:rPr>
          <w:rFonts w:ascii="Times New Roman" w:hAnsi="Times New Roman"/>
          <w:b w:val="0"/>
          <w:i w:val="0"/>
          <w:sz w:val="28"/>
        </w:rPr>
        <w:t xml:space="preserve"> При необходимости перераспределения часов, смены формы контроля или обеспечивающей кафедры оформляется электронная служебная записка (СЗ) с двусторонним согласованием (выпускающая + реализующая кафедры) и проверкой сохранения итогового баланса зачетных единиц.</w:t>
      </w:r>
    </w:p>
    <w:p>
      <w:pPr>
        <w:keepNext/>
        <w:keepLines/>
        <w:pageBreakBefore/>
        <w:widowControl/>
        <w:spacing w:before="240" w:after="120"/>
        <w:jc w:val="left"/>
      </w:pPr>
      <w:r>
        <w:rPr>
          <w:rFonts w:ascii="Times New Roman" w:hAnsi="Times New Roman"/>
          <w:b/>
          <w:sz w:val="28"/>
        </w:rPr>
        <w:t>3. Описание основных акторов системы</w:t>
      </w:r>
    </w:p>
    <w:p>
      <w:pPr>
        <w:keepNext/>
        <w:keepLines/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Спецификация данных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Актор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Роль в системе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Основные функции и зоны ответственности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Руководитель выпускающего подразделения (Зав. кафедрой)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HEAD_RELEASING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Формирование проектов учебных планов ОП, первичное визирование ЭЦП, создание служебных записок на корректировку дисциплин.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Руководитель реализующего подразделения (Обеспечивающая каф.)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HEAD_IMPLEMENTING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Согласование параметров закрепленных дисциплин (часы, формы контроля), визирование служебных записок.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Эксперт Центра АНОК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EXPERT_ANOK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Проведение автоматизированной и содержательной экспертизы УП по ФГОС ВО 3++, фиксация замечаний, применение утвержденных служебных записок.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Начальник Центра АНОК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HEAD_ANOK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Утверждение результатов аккредитационной экспертизы, наложение визы АНОК в маршруте согласования.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Проректор по учебной работе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VICE_RECTOR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Согласование учебного плана на уровне руководства университета перед вынесением на Ученый совет.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Ректор университета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RECTOR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Финальное утверждение учебного плана на основании решения Ученого совета университета.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Секретарь Ученого совета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COUNCIL_SEC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Регистрация реквизитов протоколов заседаний Ученого совета по утверждению и актуализации ОП.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Преподаватель / Студент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VIEWER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Просмотр утвержденных учебных планов, матриц компетенций, календарных графиков и объявлений.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Администратор портала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ADMIN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Управление пользователями, ролями, нормативными справочниками ФГОС, аудит безопасности и мониторинг.</w:t>
            </w:r>
          </w:p>
        </w:tc>
      </w:tr>
    </w:tbl>
    <w:p>
      <w:pPr>
        <w:spacing w:after="120"/>
      </w:pP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/>
          <w:sz w:val="28"/>
        </w:rPr>
        <w:t>Примечание.</w:t>
      </w:r>
      <w:r>
        <w:rPr>
          <w:rFonts w:ascii="Times New Roman" w:hAnsi="Times New Roman"/>
          <w:b w:val="0"/>
          <w:i w:val="0"/>
          <w:sz w:val="28"/>
        </w:rPr>
        <w:t xml:space="preserve"> Акторы «Секретарь Ученого совета» (</w:t>
      </w:r>
      <w:r>
        <w:rPr>
          <w:rFonts w:ascii="Courier New" w:hAnsi="Courier New"/>
          <w:b w:val="0"/>
          <w:i w:val="0"/>
          <w:sz w:val="28"/>
        </w:rPr>
        <w:t>COUNCIL_SEC</w:t>
      </w:r>
      <w:r>
        <w:rPr>
          <w:rFonts w:ascii="Times New Roman" w:hAnsi="Times New Roman"/>
          <w:b w:val="0"/>
          <w:i w:val="0"/>
          <w:sz w:val="28"/>
        </w:rPr>
        <w:t>) и «Преподаватель / Студент» (</w:t>
      </w:r>
      <w:r>
        <w:rPr>
          <w:rFonts w:ascii="Courier New" w:hAnsi="Courier New"/>
          <w:b w:val="0"/>
          <w:i w:val="0"/>
          <w:sz w:val="28"/>
        </w:rPr>
        <w:t>VIEWER</w:t>
      </w:r>
      <w:r>
        <w:rPr>
          <w:rFonts w:ascii="Times New Roman" w:hAnsi="Times New Roman"/>
          <w:b w:val="0"/>
          <w:i w:val="0"/>
          <w:sz w:val="28"/>
        </w:rPr>
        <w:t xml:space="preserve">) участвуют в диаграмме вариантов использования как внешние роли предметной области; системные учетные записи предусмотрены для остальных семи ролей (справочник </w:t>
      </w:r>
      <w:r>
        <w:rPr>
          <w:rFonts w:ascii="Courier New" w:hAnsi="Courier New"/>
          <w:b w:val="0"/>
          <w:i w:val="0"/>
          <w:sz w:val="28"/>
        </w:rPr>
        <w:t>roles</w:t>
      </w:r>
      <w:r>
        <w:rPr>
          <w:rFonts w:ascii="Times New Roman" w:hAnsi="Times New Roman"/>
          <w:b w:val="0"/>
          <w:i w:val="0"/>
          <w:sz w:val="28"/>
        </w:rPr>
        <w:t xml:space="preserve">, таблица </w:t>
      </w:r>
      <w:r>
        <w:rPr>
          <w:rFonts w:ascii="Courier New" w:hAnsi="Courier New"/>
          <w:b w:val="0"/>
          <w:i w:val="0"/>
          <w:sz w:val="28"/>
        </w:rPr>
        <w:t>users</w:t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keepNext/>
        <w:keepLines/>
        <w:pageBreakBefore/>
        <w:widowControl/>
        <w:spacing w:before="240" w:after="120"/>
        <w:jc w:val="left"/>
      </w:pPr>
      <w:r>
        <w:rPr>
          <w:rFonts w:ascii="Times New Roman" w:hAnsi="Times New Roman"/>
          <w:b/>
          <w:sz w:val="28"/>
        </w:rPr>
        <w:t>4. Диаграмма вариантов использования (Use Case)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Диаграмма вариантов использования отражает функциональные возможности портала для ключевых групп пользователей: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6964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64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1 — Диаграмма вариантов использования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/>
          <w:sz w:val="28"/>
        </w:rPr>
        <w:t>Правила чтения диаграммы.</w:t>
      </w:r>
      <w:r>
        <w:rPr>
          <w:rFonts w:ascii="Times New Roman" w:hAnsi="Times New Roman"/>
          <w:b w:val="0"/>
          <w:i w:val="0"/>
          <w:sz w:val="28"/>
        </w:rPr>
        <w:t xml:space="preserve"> Прецеденты сгруппированы в пять горизонтальных блоков по функциональным подсистемам; рамка «граница системы» отделяет роли пользователей (снаружи) от прецедентов портала (внутри). Каждая ассоциация «актор → прецедент» подписана действием, которое роль выполняет в данном прецеденте. Соединения построены «веером» от единой якорной точки актора к индивидуальным точкам входа на границе овала прецедента, поэтому линии не пересекаются, а подписи размещены в свободных зонах и не заходят на другие элементы. Акторы, участвующие в нескольких подсистемах (например, </w:t>
      </w:r>
      <w:r>
        <w:rPr>
          <w:rFonts w:ascii="Courier New" w:hAnsi="Courier New"/>
          <w:b w:val="0"/>
          <w:i w:val="0"/>
          <w:sz w:val="28"/>
        </w:rPr>
        <w:t>VIEWER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HEAD_RELEASING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EXPERT_ANOK</w:t>
      </w:r>
      <w:r>
        <w:rPr>
          <w:rFonts w:ascii="Times New Roman" w:hAnsi="Times New Roman"/>
          <w:b w:val="0"/>
          <w:i w:val="0"/>
          <w:sz w:val="28"/>
        </w:rPr>
        <w:t>), для наглядности показаны повторно в каждом затронутом блоке.</w:t>
      </w:r>
    </w:p>
    <w:p>
      <w:pPr>
        <w:keepNext/>
        <w:keepLines/>
        <w:widowControl/>
        <w:spacing w:before="160" w:after="80"/>
        <w:jc w:val="left"/>
      </w:pPr>
      <w:r>
        <w:rPr>
          <w:rFonts w:ascii="Times New Roman" w:hAnsi="Times New Roman"/>
          <w:b/>
          <w:sz w:val="26"/>
        </w:rPr>
        <w:t>Основные группы прецедентов: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>Подсистема учебных планов:</w:t>
      </w:r>
      <w:r>
        <w:rPr>
          <w:rFonts w:ascii="Times New Roman" w:hAnsi="Times New Roman"/>
          <w:b w:val="0"/>
          <w:i w:val="0"/>
          <w:sz w:val="28"/>
        </w:rPr>
        <w:t xml:space="preserve"> «Просмотр реестра УП», «Просмотр учебного плана по семестрам (1–8)», «Анализ аудиторной нагрузки и СРС», «Фильтрация по кафедрам».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>Подсистема аккредитационной экспертизы:</w:t>
      </w:r>
      <w:r>
        <w:rPr>
          <w:rFonts w:ascii="Times New Roman" w:hAnsi="Times New Roman"/>
          <w:b w:val="0"/>
          <w:i w:val="0"/>
          <w:sz w:val="28"/>
        </w:rPr>
        <w:t xml:space="preserve"> «Автоматическая валидация по ФГОС ВО 3++», «Контроль лимита экзаменов в сессию (≤ 5)», «Контроль объема практик и ГИА», «Формирование протокола замечаний».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>Подсистема электронного согласования:</w:t>
      </w:r>
      <w:r>
        <w:rPr>
          <w:rFonts w:ascii="Times New Roman" w:hAnsi="Times New Roman"/>
          <w:b w:val="0"/>
          <w:i w:val="0"/>
          <w:sz w:val="28"/>
        </w:rPr>
        <w:t xml:space="preserve"> «Наложение цифровой визы ЭЦП», «Просмотр цепочки подписания и хэшей SHA-256», «Утверждение протокола Ученого совета».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>Подсистема служебных записок:</w:t>
      </w:r>
      <w:r>
        <w:rPr>
          <w:rFonts w:ascii="Times New Roman" w:hAnsi="Times New Roman"/>
          <w:b w:val="0"/>
          <w:i w:val="0"/>
          <w:sz w:val="28"/>
        </w:rPr>
        <w:t xml:space="preserve"> «Создание СЗ на изменение УП», «Сравнение версий дисциплины ("Было" → "Стало")», «Согласование обеспечивающей кафедрой», «Применение правок в УП».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>Справочно-информационная подсистема:</w:t>
      </w:r>
      <w:r>
        <w:rPr>
          <w:rFonts w:ascii="Times New Roman" w:hAnsi="Times New Roman"/>
          <w:b w:val="0"/>
          <w:i w:val="0"/>
          <w:sz w:val="28"/>
        </w:rPr>
        <w:t xml:space="preserve"> «Просмотр матрицы компетенций (УК, ОПК, ПК)», «Справочник подразделений и контактов», «Лента регламентов и объявлений АНОК», «Журнал аудита действий».</w:t>
      </w:r>
    </w:p>
    <w:p>
      <w:pPr>
        <w:keepNext/>
        <w:keepLines/>
        <w:pageBreakBefore/>
        <w:widowControl/>
        <w:spacing w:before="240" w:after="120"/>
        <w:jc w:val="left"/>
      </w:pPr>
      <w:r>
        <w:rPr>
          <w:rFonts w:ascii="Times New Roman" w:hAnsi="Times New Roman"/>
          <w:b/>
          <w:sz w:val="28"/>
        </w:rPr>
        <w:t>5. Требования к корпоративному порталу</w:t>
      </w:r>
    </w:p>
    <w:p>
      <w:pPr>
        <w:keepNext/>
        <w:keepLines/>
        <w:widowControl/>
        <w:spacing w:before="160" w:after="80"/>
        <w:jc w:val="left"/>
      </w:pPr>
      <w:r>
        <w:rPr>
          <w:rFonts w:ascii="Times New Roman" w:hAnsi="Times New Roman"/>
          <w:b/>
          <w:sz w:val="26"/>
        </w:rPr>
        <w:t>5.1. Функциональные требования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i w:val="0"/>
          <w:sz w:val="28"/>
        </w:rPr>
        <w:t>ФТ-01 (Хранение ОП и УП):</w:t>
      </w:r>
      <w:r>
        <w:rPr>
          <w:rFonts w:ascii="Times New Roman" w:hAnsi="Times New Roman"/>
          <w:b w:val="0"/>
          <w:i w:val="0"/>
          <w:sz w:val="28"/>
        </w:rPr>
        <w:t xml:space="preserve"> Хранение реестра образовательных программ с кодами направлений, уровнями образования, формами обучения и связанными версиями учебных планов.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i w:val="0"/>
          <w:sz w:val="28"/>
        </w:rPr>
        <w:t>ФТ-02 (Сетка дисциплин):</w:t>
      </w:r>
      <w:r>
        <w:rPr>
          <w:rFonts w:ascii="Times New Roman" w:hAnsi="Times New Roman"/>
          <w:b w:val="0"/>
          <w:i w:val="0"/>
          <w:sz w:val="28"/>
        </w:rPr>
        <w:t xml:space="preserve"> Хранение дисциплин с детализацией по семестрам (1–8), зачетным единицам, общим часам, часам лекций, лабораторных, практик, СРС и формам контроля.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/>
          <w:i w:val="0"/>
          <w:sz w:val="28"/>
        </w:rPr>
        <w:t>ФТ-03 (Семестровая навигация):</w:t>
      </w:r>
      <w:r>
        <w:rPr>
          <w:rFonts w:ascii="Times New Roman" w:hAnsi="Times New Roman"/>
          <w:b w:val="0"/>
          <w:i w:val="0"/>
          <w:sz w:val="28"/>
        </w:rPr>
        <w:t xml:space="preserve"> Интерактивный просмотр учебного плана с переключением семестров и автоматическим расчетом промежуточных итогов.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b/>
          <w:i w:val="0"/>
          <w:sz w:val="28"/>
        </w:rPr>
        <w:t>ФТ-04 (Нормативы ФГОС):</w:t>
      </w:r>
      <w:r>
        <w:rPr>
          <w:rFonts w:ascii="Times New Roman" w:hAnsi="Times New Roman"/>
          <w:b w:val="0"/>
          <w:i w:val="0"/>
          <w:sz w:val="28"/>
        </w:rPr>
        <w:t xml:space="preserve"> Ведение справочника стандартов ФГОС ВО 3++ с пороговыми значениями (общие кредиты, макс. экзаменов, мин. практик, мин. ГИА).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b/>
          <w:i w:val="0"/>
          <w:sz w:val="28"/>
        </w:rPr>
        <w:t>ФТ-05 (Валидация):</w:t>
      </w:r>
      <w:r>
        <w:rPr>
          <w:rFonts w:ascii="Times New Roman" w:hAnsi="Times New Roman"/>
          <w:b w:val="0"/>
          <w:i w:val="0"/>
          <w:sz w:val="28"/>
        </w:rPr>
        <w:t xml:space="preserve"> Автоматическая проверка плана на соответствие критериям ФГОС с индикацией статуса.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b/>
          <w:i w:val="0"/>
          <w:sz w:val="28"/>
        </w:rPr>
        <w:t>ФТ-06 (Маршрут согласования):</w:t>
      </w:r>
      <w:r>
        <w:rPr>
          <w:rFonts w:ascii="Times New Roman" w:hAnsi="Times New Roman"/>
          <w:b w:val="0"/>
          <w:i w:val="0"/>
          <w:sz w:val="28"/>
        </w:rPr>
        <w:t xml:space="preserve"> Фиксация шагов визирования УП, ФИО подписантов, дат, статусов и криптографических хэшей подписей.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/>
          <w:b/>
          <w:i w:val="0"/>
          <w:sz w:val="28"/>
        </w:rPr>
        <w:t>ФТ-07 (Служебные записки):</w:t>
      </w:r>
      <w:r>
        <w:rPr>
          <w:rFonts w:ascii="Times New Roman" w:hAnsi="Times New Roman"/>
          <w:b w:val="0"/>
          <w:i w:val="0"/>
          <w:sz w:val="28"/>
        </w:rPr>
        <w:t xml:space="preserve"> Формирование СЗ с фиксацией выпускающей и реализующей кафедр, текстового обоснования и дифференциальных изменений дисциплин.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/>
          <w:b/>
          <w:i w:val="0"/>
          <w:sz w:val="28"/>
        </w:rPr>
        <w:t>ФТ-08 (Матрица компетенций):</w:t>
      </w:r>
      <w:r>
        <w:rPr>
          <w:rFonts w:ascii="Times New Roman" w:hAnsi="Times New Roman"/>
          <w:b w:val="0"/>
          <w:i w:val="0"/>
          <w:sz w:val="28"/>
        </w:rPr>
        <w:t xml:space="preserve"> Хранение и отображение категорий компетенций (УК, ОПК, ПК), их формулировок и дескрипторов.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/>
          <w:b/>
          <w:i w:val="0"/>
          <w:sz w:val="28"/>
        </w:rPr>
        <w:t>ФТ-09 (Справочник кафедр):</w:t>
      </w:r>
      <w:r>
        <w:rPr>
          <w:rFonts w:ascii="Times New Roman" w:hAnsi="Times New Roman"/>
          <w:b w:val="0"/>
          <w:i w:val="0"/>
          <w:sz w:val="28"/>
        </w:rPr>
        <w:t xml:space="preserve"> Ведение структуры подразделений с разделением на выпускающие, реализующие, экспертные и руководящие.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/>
          <w:b/>
          <w:i w:val="0"/>
          <w:sz w:val="28"/>
        </w:rPr>
        <w:t>ФТ-10 (Объявления):</w:t>
      </w:r>
      <w:r>
        <w:rPr>
          <w:rFonts w:ascii="Times New Roman" w:hAnsi="Times New Roman"/>
          <w:b w:val="0"/>
          <w:i w:val="0"/>
          <w:sz w:val="28"/>
        </w:rPr>
        <w:t xml:space="preserve"> Публикация регламентов и объявлений с поддержкой закрепления важных записей.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/>
          <w:b/>
          <w:i w:val="0"/>
          <w:sz w:val="28"/>
        </w:rPr>
        <w:t>ФТ-11 (Журнал аудита):</w:t>
      </w:r>
      <w:r>
        <w:rPr>
          <w:rFonts w:ascii="Times New Roman" w:hAnsi="Times New Roman"/>
          <w:b w:val="0"/>
          <w:i w:val="0"/>
          <w:sz w:val="28"/>
        </w:rPr>
        <w:t xml:space="preserve"> Протоколирование всех операций (время, пользователь, роль, действие, объект, статус, IP-адрес).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/>
          <w:b/>
          <w:i w:val="0"/>
          <w:sz w:val="28"/>
        </w:rPr>
        <w:t>ФТ-12 (Карта сайта):</w:t>
      </w:r>
      <w:r>
        <w:rPr>
          <w:rFonts w:ascii="Times New Roman" w:hAnsi="Times New Roman"/>
          <w:b w:val="0"/>
          <w:i w:val="0"/>
          <w:sz w:val="28"/>
        </w:rPr>
        <w:t xml:space="preserve"> Наличие интерактивной карты сайта со всеми разделами системы.</w:t>
      </w:r>
    </w:p>
    <w:p>
      <w:pPr>
        <w:keepNext/>
        <w:keepLines/>
        <w:widowControl/>
        <w:spacing w:before="160" w:after="80"/>
        <w:jc w:val="left"/>
      </w:pPr>
      <w:r>
        <w:rPr>
          <w:rFonts w:ascii="Times New Roman" w:hAnsi="Times New Roman"/>
          <w:b/>
          <w:sz w:val="26"/>
        </w:rPr>
        <w:t>5.2. Нефункциональные требования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i w:val="0"/>
          <w:sz w:val="28"/>
        </w:rPr>
        <w:t>НФТ-01 (Производительность):</w:t>
      </w:r>
      <w:r>
        <w:rPr>
          <w:rFonts w:ascii="Times New Roman" w:hAnsi="Times New Roman"/>
          <w:b w:val="0"/>
          <w:i w:val="0"/>
          <w:sz w:val="28"/>
        </w:rPr>
        <w:t xml:space="preserve"> Время отклика сервера при формировании страниц не должно превышать 200 мс при стандартной нагрузке.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i w:val="0"/>
          <w:sz w:val="28"/>
        </w:rPr>
        <w:t>НФТ-02 (Надежность и транзакционность):</w:t>
      </w:r>
      <w:r>
        <w:rPr>
          <w:rFonts w:ascii="Times New Roman" w:hAnsi="Times New Roman"/>
          <w:b w:val="0"/>
          <w:i w:val="0"/>
          <w:sz w:val="28"/>
        </w:rPr>
        <w:t xml:space="preserve"> Целостность данных обеспечивается связями первичных и внешних ключей (</w:t>
      </w:r>
      <w:r>
        <w:rPr>
          <w:rFonts w:ascii="Courier New" w:hAnsi="Courier New"/>
          <w:b w:val="0"/>
          <w:i w:val="0"/>
          <w:sz w:val="28"/>
        </w:rPr>
        <w:t>Foreign Keys</w:t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/>
          <w:i w:val="0"/>
          <w:sz w:val="28"/>
        </w:rPr>
        <w:t>НФТ-03 (Безопасность):</w:t>
      </w:r>
      <w:r>
        <w:rPr>
          <w:rFonts w:ascii="Times New Roman" w:hAnsi="Times New Roman"/>
          <w:b w:val="0"/>
          <w:i w:val="0"/>
          <w:sz w:val="28"/>
        </w:rPr>
        <w:t xml:space="preserve"> Использование подготовленных запросов (</w:t>
      </w:r>
      <w:r>
        <w:rPr>
          <w:rFonts w:ascii="Courier New" w:hAnsi="Courier New"/>
          <w:b w:val="0"/>
          <w:i w:val="0"/>
          <w:sz w:val="28"/>
        </w:rPr>
        <w:t>Prepared Statements</w:t>
      </w:r>
      <w:r>
        <w:rPr>
          <w:rFonts w:ascii="Times New Roman" w:hAnsi="Times New Roman"/>
          <w:b w:val="0"/>
          <w:i w:val="0"/>
          <w:sz w:val="28"/>
        </w:rPr>
        <w:t>) для исключения SQL-инъекций; экранирование вывода HTML (</w:t>
      </w:r>
      <w:r>
        <w:rPr>
          <w:rFonts w:ascii="Courier New" w:hAnsi="Courier New"/>
          <w:b w:val="0"/>
          <w:i w:val="0"/>
          <w:sz w:val="28"/>
        </w:rPr>
        <w:t>htmlspecialchars</w:t>
      </w:r>
      <w:r>
        <w:rPr>
          <w:rFonts w:ascii="Times New Roman" w:hAnsi="Times New Roman"/>
          <w:b w:val="0"/>
          <w:i w:val="0"/>
          <w:sz w:val="28"/>
        </w:rPr>
        <w:t>) для защиты от XSS.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b/>
          <w:i w:val="0"/>
          <w:sz w:val="28"/>
        </w:rPr>
        <w:t>НФТ-04 (Кроссплатформенность и переносимость):</w:t>
      </w:r>
      <w:r>
        <w:rPr>
          <w:rFonts w:ascii="Times New Roman" w:hAnsi="Times New Roman"/>
          <w:b w:val="0"/>
          <w:i w:val="0"/>
          <w:sz w:val="28"/>
        </w:rPr>
        <w:t xml:space="preserve"> Возможность автономного развертывания как на стеке PHP/MySQL, так и на легковесном стеке Python/SQLite без внешних закрытых зависимостей.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b/>
          <w:i w:val="0"/>
          <w:sz w:val="28"/>
        </w:rPr>
        <w:t>НФТ-05 (Адаптивность):</w:t>
      </w:r>
      <w:r>
        <w:rPr>
          <w:rFonts w:ascii="Times New Roman" w:hAnsi="Times New Roman"/>
          <w:b w:val="0"/>
          <w:i w:val="0"/>
          <w:sz w:val="28"/>
        </w:rPr>
        <w:t xml:space="preserve"> Корректное отображение на мониторах ПК, планшетах и мобильных устройствах.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b/>
          <w:i w:val="0"/>
          <w:sz w:val="28"/>
        </w:rPr>
        <w:t>НФТ-06 (Эргономика):</w:t>
      </w:r>
      <w:r>
        <w:rPr>
          <w:rFonts w:ascii="Times New Roman" w:hAnsi="Times New Roman"/>
          <w:b w:val="0"/>
          <w:i w:val="0"/>
          <w:sz w:val="28"/>
        </w:rPr>
        <w:t xml:space="preserve"> Единый строгий корпоративный стиль оформления с визуальным цветовым кодированием статусов документов.</w:t>
      </w:r>
    </w:p>
    <w:p>
      <w:pPr>
        <w:keepNext/>
        <w:keepLines/>
        <w:pageBreakBefore/>
        <w:widowControl/>
        <w:spacing w:before="240" w:after="120"/>
        <w:jc w:val="left"/>
      </w:pPr>
      <w:r>
        <w:rPr>
          <w:rFonts w:ascii="Times New Roman" w:hAnsi="Times New Roman"/>
          <w:b/>
          <w:sz w:val="28"/>
        </w:rPr>
        <w:t>6. Сравнительный анализ инструментальных программных средств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соответствии с заданием выполнен сравнительный анализ бесплатных инструментальных платформ с открытым исходным кодом, поддерживающих PHP и реляционные СУБД MySQL / MariaDB / SQLite.</w:t>
      </w:r>
    </w:p>
    <w:p>
      <w:pPr>
        <w:keepNext/>
        <w:keepLines/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2 — Спецификация данных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 w:val="true"/>
        </w:trPr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Критерий сравнения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Drupal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Joomla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Laravel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Native PHP + PDO / Light Server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Лицензия и стоимость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Бесплатно (GPL)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Бесплатно (GPL)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Бесплатно (MIT)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Бесплатно (Open Source)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Язык разработки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PHP 8.x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PHP 8.x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PHP 8.x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PHP 8.x / Python 3.x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Поддерживаемые СУБД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MySQL, MariaDB, PostgreSQL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MySQL, MariaDB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MySQL, PostgreSQL, SQLite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MySQL, MariaDB, SQLite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Требования к ресурсам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Высокие (≥ 256 MB RAM)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Средние (≥ 128 MB RAM)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Средние (≥ 128 MB RAM)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Минимальные (&lt; 32 MB RAM)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Сложность развертывания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Высокая (Composer, Drush, Nginx)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Средняя (инсталлятор)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Высокая (Composer, Artisan, Node)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Нулевая (запуск одной командой)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Кастомизация структур данных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Модули CCK/Fields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Расширения компонентов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Eloquent ORM / миграции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Прямой SQL DDL / DML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Прозрачность архитектуры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Избыточна для прототипа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Избыточна для прототипа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Скрыта за абстракциями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100% прозрачность для учебного анализа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Безопасность запросов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Встроенный API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Встроенный API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Query Builder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PDO Prepared Statements</w:t>
            </w:r>
          </w:p>
        </w:tc>
      </w:tr>
    </w:tbl>
    <w:p>
      <w:pPr>
        <w:spacing w:after="120"/>
      </w:pPr>
    </w:p>
    <w:p>
      <w:pPr>
        <w:keepNext/>
        <w:keepLines/>
        <w:widowControl/>
        <w:spacing w:before="160" w:after="80"/>
        <w:jc w:val="left"/>
      </w:pPr>
      <w:r>
        <w:rPr>
          <w:rFonts w:ascii="Times New Roman" w:hAnsi="Times New Roman"/>
          <w:b/>
          <w:sz w:val="26"/>
        </w:rPr>
        <w:t>Обоснование выбранного решения: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учебного корпоративного портала Центра АНОК выбран </w:t>
      </w:r>
      <w:r>
        <w:rPr>
          <w:rFonts w:ascii="Times New Roman" w:hAnsi="Times New Roman"/>
          <w:b/>
          <w:i w:val="0"/>
          <w:sz w:val="28"/>
        </w:rPr>
        <w:t>нативный стек PHP / Python с PDO / SQLite / MySQL</w:t>
      </w:r>
      <w:r>
        <w:rPr>
          <w:rFonts w:ascii="Times New Roman" w:hAnsi="Times New Roman"/>
          <w:b w:val="0"/>
          <w:i w:val="0"/>
          <w:sz w:val="28"/>
        </w:rPr>
        <w:t>. Данный выбор обоснован следующими факторами: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i w:val="0"/>
          <w:sz w:val="28"/>
        </w:rPr>
        <w:t>Полное соответствие заданию:</w:t>
      </w:r>
      <w:r>
        <w:rPr>
          <w:rFonts w:ascii="Times New Roman" w:hAnsi="Times New Roman"/>
          <w:b w:val="0"/>
          <w:i w:val="0"/>
          <w:sz w:val="28"/>
        </w:rPr>
        <w:t xml:space="preserve"> соблюдены все требования к бесплатному ПО, архитектуре PHP/Python, СУБД MySQL/MariaDB/SQLite.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i w:val="0"/>
          <w:sz w:val="28"/>
        </w:rPr>
        <w:t>Прозрачность реализации:</w:t>
      </w:r>
      <w:r>
        <w:rPr>
          <w:rFonts w:ascii="Times New Roman" w:hAnsi="Times New Roman"/>
          <w:b w:val="0"/>
          <w:i w:val="0"/>
          <w:sz w:val="28"/>
        </w:rPr>
        <w:t xml:space="preserve"> демонстрация непосредственной реляционной схемы данных (13 таблиц), маршрутизации страниц и выполнения подготовленных SQL-запросов без накладных расходов тяжеловесных CMS.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/>
          <w:i w:val="0"/>
          <w:sz w:val="28"/>
        </w:rPr>
        <w:t>Автономность и мобильность:</w:t>
      </w:r>
      <w:r>
        <w:rPr>
          <w:rFonts w:ascii="Times New Roman" w:hAnsi="Times New Roman"/>
          <w:b w:val="0"/>
          <w:i w:val="0"/>
          <w:sz w:val="28"/>
        </w:rPr>
        <w:t xml:space="preserve"> возможность мгновенного запуска и демонстрации прототипа в изолированных средах и веб-песочницах без необходимости настройки сложной инфраструктуры.</w:t>
      </w:r>
    </w:p>
    <w:p>
      <w:pPr>
        <w:keepNext/>
        <w:keepLines/>
        <w:pageBreakBefore/>
        <w:widowControl/>
        <w:spacing w:before="240" w:after="120"/>
        <w:jc w:val="left"/>
      </w:pPr>
      <w:r>
        <w:rPr>
          <w:rFonts w:ascii="Times New Roman" w:hAnsi="Times New Roman"/>
          <w:b/>
          <w:sz w:val="28"/>
        </w:rPr>
        <w:t>7. Заключение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рамках лабораторной работы № 1 полностью исследована предметная область Центра АНОК университета, выделены 9 акторов, разработана диаграмма вариантов использования (Use Case), сформулированы 12 функциональных и 6 нефункциональных требований, проведен сравнительный анализ CMS/фреймворков и обоснован выбор стека разработки.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