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Наполнить все разделы и страницы корпоративного портала Центра АНОК взаимосвязанными структурированными данными предметной области (информационными блоками), обеспечив полную согласованность зачетных единиц, академических часов, матриц компетенций, этапов согласования, служебных записок и записей журнала аудита.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информационных блоков и привязка к сущностям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Информационные блоки портала соответствуют реляционным таблицам базы данных `anok_portal`: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Информационный блок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Таблица БД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Количество записей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и состав данных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Учебные планы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Паспорт УП направления 09.03.04 (2026/2027 уч. год, статус `APPROVED_RECTOR`, протокол № 8/26).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Дисциплины плана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`curriculum_disciplines`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51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51 дисциплина по 8 семестрам со строгим балансом: 30 з.е. и 1080 часов на семестр (240 з.е. суммарно).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Стандарты ФГОС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`standards_fgos`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Стандарты ФГОС ВО 3++ (09.03.04 бакалавриат, 09.03.01 бакалавриат, 09.04.04 магистратура).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Образовательные программы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`educational_programs`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Направление 09.03.04 «Программная инженерия» (профиль «Разработка программного обеспечения»).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Матрица компетенций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`competencies`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5 универсальных (УК-1..8), 4 общепрофессиональных (ОПК-1..6), 4 профессиональных компетенции (ПК-1..4).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Выпускающие кафедры (ПИ, ИСТ), обеспечивающие (ВМ, ИЯ, ОФ), экспертные (АНОК) и руководство (Ректорат).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Служебные записки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СЗ № 048, 052, 059, 061 на корректировку дисциплин с дифференциалом «Было» → «Стало».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Маршрут визирования (ЭЦП)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`document_signatures`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 этапа согласования УП (Зав. кафедрой → Нач. АНОК → Проректор → Ректор) с хэшами SHA-256.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Объявления и регламенты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`announcements`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Нормативные регламенты и приказы Центра АНОК с метками закрепления.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Журнал аудита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`audit_logs`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Хронологические записи событий безопасности с фиксацией IP-адресов.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Пользователи и роли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`users`, `roles`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 / 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Справочник учетных записей сотрудников университета с ролями доступа.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Детальный анализ информационного наполнения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Балансировка учебного плана направления 09.03.04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Учебный план спроектирован в строгом соответствии с требованиями ФГОС ВО 3++ по направлению 09.03.04 «Программная инженерия» (уровень бакалавриата, очная форма обучения):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Семестр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Кол-во дисциплин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Сумма зачетных единиц (норма: 30 з.е.)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Аудиторные часы (Лек/Лаб/Прак)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СРС (часы)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Всего часов (норма: 1080 ч.)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Формы контроля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1080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 Экзамена, 3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1080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 Экзамена, 3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360 ч. (180 / 90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1080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 Экзамена, 3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1080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 Экзамена, 2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1080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 Экзамена, 4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6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1080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4 Экзамена, 2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1080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3 Экзамена, 3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8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144 ч. (18 / 36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936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1080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 Экзамен, 2 Зачета, ГИА, ВКР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ИТОГО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51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240 з.е.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2664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5976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8640 ч.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100% баланс ФГОС 3++</w:t>
            </w: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after="120"/>
      </w:pP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Учебные планы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Проверка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Матрица компетенций образовательной программы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системе зафиксировано 13 компетенций, охватывающих все квалификационные дескрипторы выпускника программной инженерии: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Универсальные компетенции (УК):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`УК-1`: Системное и критическое мышление;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`УК-2`: Разработка и реализация проектов;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`УК-3`: Командная работа и лидерство;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`УК-4`: Деловая коммуникация;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`УК-8`: Безопасность жизнедеятельности.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Общепрофессиональные компетенции (ОПК):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`ОПК-1`: Математический и естественнонаучный аппарат;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`ОПК-2`: Информационно-коммуникационные технологии;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`ОПК-4`: Алгоритмы и структуры данных;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`ОПК-6`: Информационная безопасность вычислительных систем.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Профессиональные компетенции (ПК):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`ПК-1`: Проектирование программных комплексов и баз данных;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`ПК-2`: Разработка и отладка программного кода с применением CI/CD;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`ПК-3`: Тестирование, верификация и оптимизация ПО;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`ПК-4`: Сопровождение и администрирование распределенных систем.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Компетенции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Программы и стандарты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Служебные записки и механизм дифференциации («Было» → «Стало»)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служебных записок фиксирует документооборот по оперативным корректировкам учебного плана: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СЗ № 2026/048 (Статус `APPLIED`):</w:t>
      </w:r>
      <w:r>
        <w:rPr>
          <w:rFonts w:ascii="Times New Roman" w:hAnsi="Times New Roman"/>
          <w:sz w:val="28"/>
        </w:rPr>
        <w:t xml:space="preserve"> Увеличение трудоемкости дисциплины «Математический анализ» в 1 семестре с 3 до 5 з.е. и замена формы контроля «Зачет» на «Экзамен».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СЗ № 2026/052 (Статус `APPLIED`):</w:t>
      </w:r>
      <w:r>
        <w:rPr>
          <w:rFonts w:ascii="Times New Roman" w:hAnsi="Times New Roman"/>
          <w:sz w:val="28"/>
        </w:rPr>
        <w:t xml:space="preserve"> Перераспределение контактных часов по дисциплине «Алгоритмизация и основы программирования» (добавление 36 ч. лабораторного практикума за счет СРС).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СЗ № 2026/059 (Статус `IN_ANOK`):</w:t>
      </w:r>
      <w:r>
        <w:rPr>
          <w:rFonts w:ascii="Times New Roman" w:hAnsi="Times New Roman"/>
          <w:sz w:val="28"/>
        </w:rPr>
        <w:t xml:space="preserve"> Закрепление дисциплины по выбору «Разработка мобильных приложений» за профильной лабораторией.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СЗ № 2026/061 (Статус `SIGNED_RELEASING`):</w:t>
      </w:r>
      <w:r>
        <w:rPr>
          <w:rFonts w:ascii="Times New Roman" w:hAnsi="Times New Roman"/>
          <w:sz w:val="28"/>
        </w:rPr>
        <w:t xml:space="preserve"> Корректировка календарного графика производственной практики.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Служебные записки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Подразделения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Объявления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лабораторной работы № 5 выполнено полное информационное наполнение всех разделов портала Центра АНОК с загрузкой 51 дисциплины (240 з.е.), 13 компетенций, 7 подразделений, 4 служебных записок, 4 регламентных объявлений и записей журнала аудита.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