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Date"/>
      </w:pPr>
      <w:r>
        <w:t xml:space="preserve">МатМод–2021,</w:t>
      </w:r>
      <w:r>
        <w:t xml:space="preserve"> </w:t>
      </w:r>
      <w:r>
        <w:t xml:space="preserve">4</w:t>
      </w:r>
      <w:r>
        <w:t xml:space="preserve"> </w:t>
      </w:r>
      <w:r>
        <w:t xml:space="preserve">марта,</w:t>
      </w:r>
      <w:r>
        <w:t xml:space="preserve"> </w:t>
      </w:r>
      <w:r>
        <w:t xml:space="preserve">2021,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2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-к-лабораторной-работе"/>
    <w:p>
      <w:pPr>
        <w:pStyle w:val="Heading2"/>
      </w:pPr>
      <w:r>
        <w:t xml:space="preserve">Задание к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End w:id="22"/>
    <w:bookmarkStart w:id="28" w:name="процесс-выполнения-лабораторной-работы"/>
    <w:p>
      <w:pPr>
        <w:pStyle w:val="Heading1"/>
      </w:pPr>
      <w:r>
        <w:t xml:space="preserve">Процесс выполнения лабораторной работы</w:t>
      </w:r>
    </w:p>
    <w:bookmarkStart w:id="23" w:name="теоретический-материал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Обозначения: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bookmarkEnd w:id="23"/>
    <w:bookmarkStart w:id="24" w:name="теоретический-материал-1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Функция спроса: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Уравнения динамики оборотных средств: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4"/>
    <w:bookmarkStart w:id="25" w:name="теоретический-материал-2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При заданном M уравнение описывает быстрое стремление цены к равновесному значению цены, которое устойчиво.</w:t>
      </w:r>
      <w:r>
        <w:t xml:space="preserve"> </w:t>
      </w: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bookmarkEnd w:id="25"/>
    <w:bookmarkStart w:id="26" w:name="теоретический-материал-3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Уравнения динамики оборотных средств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Стационарное состояние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bookmarkEnd w:id="26"/>
    <w:bookmarkStart w:id="27" w:name="теоретический-материал-4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bookmarkEnd w:id="27"/>
    <w:bookmarkEnd w:id="28"/>
    <w:bookmarkStart w:id="39" w:name="условие-задачи"/>
    <w:p>
      <w:pPr>
        <w:pStyle w:val="Heading1"/>
      </w:pPr>
      <w:r>
        <w:t xml:space="preserve">Условие задачи</w:t>
      </w:r>
    </w:p>
    <w:bookmarkStart w:id="29" w:name="случай-1"/>
    <w:p>
      <w:pPr>
        <w:pStyle w:val="Heading2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Будем считать, что постоянные издержки пренебрежимо малы.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9"/>
    <w:bookmarkStart w:id="30" w:name="случай-2"/>
    <w:p>
      <w:pPr>
        <w:pStyle w:val="Heading2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используются еще и социально-психологические факторы.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0.00017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30"/>
    <w:bookmarkStart w:id="31" w:name="данные"/>
    <w:p>
      <w:pPr>
        <w:pStyle w:val="Heading2"/>
      </w:pPr>
      <w:r>
        <w:t xml:space="preserve">Данные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bookmarkEnd w:id="31"/>
    <w:bookmarkStart w:id="32" w:name="данные-1"/>
    <w:p>
      <w:pPr>
        <w:pStyle w:val="Heading2"/>
      </w:pPr>
      <w:r>
        <w:t xml:space="preserve">Данные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7.7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8.8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31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11.2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15.5</m:t>
          </m:r>
        </m:oMath>
      </m:oMathPara>
    </w:p>
    <w:bookmarkEnd w:id="32"/>
    <w:bookmarkStart w:id="35" w:name="график-в-первом-случае"/>
    <w:p>
      <w:pPr>
        <w:pStyle w:val="Heading2"/>
      </w:pPr>
      <w:r>
        <w:t xml:space="preserve">График в первом случае</w:t>
      </w:r>
    </w:p>
    <w:p>
      <w:pPr>
        <w:pStyle w:val="CaptionedFigure"/>
      </w:pPr>
      <w:bookmarkStart w:id="34" w:name="fig:001"/>
      <w:r>
        <w:drawing>
          <wp:inline>
            <wp:extent cx="5164428" cy="3374264"/>
            <wp:effectExtent b="0" l="0" r="0" t="0"/>
            <wp:docPr descr="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graf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28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 для случая 1</w:t>
      </w:r>
    </w:p>
    <w:bookmarkEnd w:id="35"/>
    <w:bookmarkStart w:id="38" w:name="график-во-втором-случае"/>
    <w:p>
      <w:pPr>
        <w:pStyle w:val="Heading2"/>
      </w:pPr>
      <w:r>
        <w:t xml:space="preserve">График во втором случае</w:t>
      </w:r>
    </w:p>
    <w:p>
      <w:pPr>
        <w:pStyle w:val="CaptionedFigure"/>
      </w:pPr>
      <w:bookmarkStart w:id="37" w:name="fig:002"/>
      <w:r>
        <w:drawing>
          <wp:inline>
            <wp:extent cx="5164428" cy="3374264"/>
            <wp:effectExtent b="0" l="0" r="0" t="0"/>
            <wp:docPr descr="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gra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28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График для случая 2</w:t>
      </w:r>
    </w:p>
    <w:bookmarkEnd w:id="38"/>
    <w:bookmarkEnd w:id="39"/>
    <w:bookmarkStart w:id="41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40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двух фирм и построены графики.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конкуренции двух фирм</dc:title>
  <dc:creator/>
  <dc:language>ru-RU</dc:language>
  <cp:keywords/>
  <dcterms:created xsi:type="dcterms:W3CDTF">2021-04-03T22:04:50Z</dcterms:created>
  <dcterms:modified xsi:type="dcterms:W3CDTF">2021-04-03T22:04:50Z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МатМод–2021, 4 марта, 2021, Москва, Россия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Дружбы Народов</vt:lpwstr>
  </property>
  <property fmtid="{D5CDD505-2E9C-101B-9397-08002B2CF9AE}" pid="6" name="mainfont">
    <vt:lpwstr>PT Serif</vt:lpwstr>
  </property>
  <property fmtid="{D5CDD505-2E9C-101B-9397-08002B2CF9AE}" pid="7" name="monofont">
    <vt:lpwstr>PT Mono</vt:lpwstr>
  </property>
  <property fmtid="{D5CDD505-2E9C-101B-9397-08002B2CF9AE}" pid="8" name="romanfont">
    <vt:lpwstr>PT Serif</vt:lpwstr>
  </property>
  <property fmtid="{D5CDD505-2E9C-101B-9397-08002B2CF9AE}" pid="9" name="sansfont">
    <vt:lpwstr>PT Sans</vt:lpwstr>
  </property>
  <property fmtid="{D5CDD505-2E9C-101B-9397-08002B2CF9AE}" pid="10" name="section-titles">
    <vt:lpwstr>True</vt:lpwstr>
  </property>
  <property fmtid="{D5CDD505-2E9C-101B-9397-08002B2CF9AE}" pid="11" name="slide_level">
    <vt:lpwstr>2</vt:lpwstr>
  </property>
  <property fmtid="{D5CDD505-2E9C-101B-9397-08002B2CF9AE}" pid="12" name="theme">
    <vt:lpwstr>metropolis</vt:lpwstr>
  </property>
  <property fmtid="{D5CDD505-2E9C-101B-9397-08002B2CF9AE}" pid="13" name="toc">
    <vt:lpwstr>False</vt:lpwstr>
  </property>
</Properties>
</file>