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Times New Roman" w:cs="Times New Roman" w:eastAsia="Times New Roman" w:hAnsi="Times New Roman"/>
        </w:rPr>
      </w:pPr>
      <w:bookmarkStart w:colFirst="0" w:colLast="0" w:name="_uasj515kngdn" w:id="0"/>
      <w:bookmarkEnd w:id="0"/>
      <w:r w:rsidDel="00000000" w:rsidR="00000000" w:rsidRPr="00000000">
        <w:rPr>
          <w:rFonts w:ascii="Times New Roman" w:cs="Times New Roman" w:eastAsia="Times New Roman" w:hAnsi="Times New Roman"/>
          <w:rtl w:val="0"/>
        </w:rPr>
        <w:t xml:space="preserve">Segmentacja zbiorników wodnych na podstawie wielospektralnych danych satelitarnych Sentinel-2 z wykorzystaniem sieci konwolucyjnej U-Net oraz metody Otsu</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numPr>
          <w:ilvl w:val="0"/>
          <w:numId w:val="1"/>
        </w:numPr>
        <w:ind w:left="720" w:hanging="360"/>
        <w:rPr>
          <w:rFonts w:ascii="Times New Roman" w:cs="Times New Roman" w:eastAsia="Times New Roman" w:hAnsi="Times New Roman"/>
        </w:rPr>
      </w:pPr>
      <w:bookmarkStart w:colFirst="0" w:colLast="0" w:name="_qe65cn3ccgh7" w:id="1"/>
      <w:bookmarkEnd w:id="1"/>
      <w:r w:rsidDel="00000000" w:rsidR="00000000" w:rsidRPr="00000000">
        <w:rPr>
          <w:rFonts w:ascii="Times New Roman" w:cs="Times New Roman" w:eastAsia="Times New Roman" w:hAnsi="Times New Roman"/>
          <w:rtl w:val="0"/>
        </w:rPr>
        <w:t xml:space="preserve">WSTĘP TEORETYCZNY I CEL PROJEKTU</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Celem projektu była budowa i weryfikacja potoku uczenia maszynowego do automatycznej, binarnej segmentacji wód powierzchniowych na wielospektralnych zobrazowaniach satelitarnych misji Sentinel-2. W tym celu zastosowano uczenie maszynowe za pomocą konwolucyjnej sieci neuronowej. Rozwiązanie to zestawiono następnie z podejściem opartym na </w:t>
      </w:r>
      <w:r w:rsidDel="00000000" w:rsidR="00000000" w:rsidRPr="00000000">
        <w:rPr>
          <w:rFonts w:ascii="Times New Roman" w:cs="Times New Roman" w:eastAsia="Times New Roman" w:hAnsi="Times New Roman"/>
          <w:sz w:val="24"/>
          <w:szCs w:val="24"/>
          <w:rtl w:val="0"/>
        </w:rPr>
        <w:t xml:space="preserve">progowaniu</w:t>
      </w:r>
      <w:r w:rsidDel="00000000" w:rsidR="00000000" w:rsidRPr="00000000">
        <w:rPr>
          <w:rFonts w:ascii="Times New Roman" w:cs="Times New Roman" w:eastAsia="Times New Roman" w:hAnsi="Times New Roman"/>
          <w:sz w:val="24"/>
          <w:szCs w:val="24"/>
          <w:rtl w:val="0"/>
        </w:rPr>
        <w:t xml:space="preserve"> adaptacyjnym Otsu, aby zweryfikować zysk wydajnościowy wynikający z użycia głębokich sieci neuronowych w zadaniach teledetekcyjnych. Projekt obejmował pobranie danych satelitarnych, ich wstępną obróbkę i przygotowanie zestawu treningowego, oraz optymalizację wag i ewaluację metryk.</w:t>
      </w:r>
    </w:p>
    <w:p w:rsidR="00000000" w:rsidDel="00000000" w:rsidP="00000000" w:rsidRDefault="00000000" w:rsidRPr="00000000" w14:paraId="0000000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Fizyczną podstawą teledetekcyjnej detekcji wody jest jej unikalna krzywa odbicia spektralnego. Czysta woda wykazuje zauważalną reflektancję w zakresie widzialnym, ze szczytem w paśmie zielonym, po czym gwałtownie absorbuje promieniowanie w pasmach bliskiej i krótkofalowej podczerwieni. Zjawisko to ostro kontrastuje z charakterystyką roślin oraz gleby, które w podczerwieni cechują się silnym odbiciem. Choć właściwość ta umożliwia konstrukcję prostych indeksów spektralnych, klasyczne podejścia progowe zawodzą w strefach przybrzeżnych, na obszarach płytkich o wysokim zmętnieniu mineralnym, w obecności podwodnej roślinności oraz w rejonach zacienionych przez chmury lub struktury terenowe. Architektura głębokiej sieci U-Net rozwiązuje ten problem, łącząc informację o wielospektralnej sygnaturze radiometrycznej piksela ze strukturalnym kontekstem przestrzennym jego otoczenia. </w:t>
      </w:r>
    </w:p>
    <w:p w:rsidR="00000000" w:rsidDel="00000000" w:rsidP="00000000" w:rsidRDefault="00000000" w:rsidRPr="00000000" w14:paraId="00000006">
      <w:pPr>
        <w:pStyle w:val="Heading2"/>
        <w:numPr>
          <w:ilvl w:val="0"/>
          <w:numId w:val="1"/>
        </w:numPr>
        <w:ind w:left="720" w:hanging="360"/>
        <w:rPr>
          <w:rFonts w:ascii="Times New Roman" w:cs="Times New Roman" w:eastAsia="Times New Roman" w:hAnsi="Times New Roman"/>
        </w:rPr>
      </w:pPr>
      <w:bookmarkStart w:colFirst="0" w:colLast="0" w:name="_g7la9g8yn7rc" w:id="2"/>
      <w:bookmarkEnd w:id="2"/>
      <w:r w:rsidDel="00000000" w:rsidR="00000000" w:rsidRPr="00000000">
        <w:rPr>
          <w:rFonts w:ascii="Times New Roman" w:cs="Times New Roman" w:eastAsia="Times New Roman" w:hAnsi="Times New Roman"/>
          <w:rtl w:val="0"/>
        </w:rPr>
        <w:t xml:space="preserve">METODYKA BADAWCZA I PRZETWARZANIE DANYCH</w:t>
      </w:r>
    </w:p>
    <w:p w:rsidR="00000000" w:rsidDel="00000000" w:rsidP="00000000" w:rsidRDefault="00000000" w:rsidRPr="00000000" w14:paraId="0000000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Dane wykorzystane w projekcie pochodzą z misji satelitarnej Sentinel-2, udostępniającej zobrazowania powierzchni ziemi zdefiniowane jako poziom L2A dla okna czasowego od 1 czerwca do 1 września 2023 roku, nakładając warunek zachmurzenia poniżej 5% w obrębie wschodniej części Zalewu Szczecińskiego. Proces pozyskiwania zautomatyzowano przy wykorzystaniu funkcjonalności API platformy Planetary Computer. Wykorzystana do analizy scena satelitarna nosi identyfikator S2B_MSIL2A_20230610T101609_R065_T33UVV_20240909T065358. Z całego zobrazowania wyodrębniono wycinek przestrzenny o wymiarach 2239 px na 1994 px, zachowując wyjściową rozdzielczość wynoszącą dziesięć metrów. </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nowszych produktach Sentinel-2 L2A wprowadzono stały offset radiometryczny +1000 DN w celu uniknięcia ujemnych wartości odbicia po korekcji atmosferycznej </w:t>
      </w:r>
      <w:r w:rsidDel="00000000" w:rsidR="00000000" w:rsidRPr="00000000">
        <w:rPr>
          <w:rFonts w:ascii="Times New Roman" w:cs="Times New Roman" w:eastAsia="Times New Roman" w:hAnsi="Times New Roman"/>
          <w:sz w:val="24"/>
          <w:szCs w:val="24"/>
          <w:rtl w:val="0"/>
        </w:rPr>
        <w:t xml:space="preserve">Sen2Cor</w:t>
      </w:r>
      <w:r w:rsidDel="00000000" w:rsidR="00000000" w:rsidRPr="00000000">
        <w:rPr>
          <w:rFonts w:ascii="Times New Roman" w:cs="Times New Roman" w:eastAsia="Times New Roman" w:hAnsi="Times New Roman"/>
          <w:sz w:val="24"/>
          <w:szCs w:val="24"/>
          <w:rtl w:val="0"/>
        </w:rPr>
        <w:t xml:space="preserve">. Przeliczenie wartości cyfrowych na bezwymiarową wielkość współczynnika odbicia BOA (</w:t>
      </w:r>
      <m:oMath>
        <m:r>
          <m:t>ρ</m:t>
        </m:r>
      </m:oMath>
      <w:r w:rsidDel="00000000" w:rsidR="00000000" w:rsidRPr="00000000">
        <w:rPr>
          <w:rFonts w:ascii="Times New Roman" w:cs="Times New Roman" w:eastAsia="Times New Roman" w:hAnsi="Times New Roman"/>
          <w:sz w:val="24"/>
          <w:szCs w:val="24"/>
          <w:rtl w:val="0"/>
        </w:rPr>
        <w:t xml:space="preserve">) opisuje zależność: </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m:oMath>
        <m:r>
          <m:t>ρ</m:t>
        </m:r>
      </m:oMath>
      <w:r w:rsidDel="00000000" w:rsidR="00000000" w:rsidRPr="00000000">
        <w:rPr>
          <w:rFonts w:ascii="Times New Roman" w:cs="Times New Roman" w:eastAsia="Times New Roman" w:hAnsi="Times New Roman"/>
          <w:sz w:val="24"/>
          <w:szCs w:val="24"/>
          <w:rtl w:val="0"/>
        </w:rPr>
        <w:t xml:space="preserve"> = clip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DN - 1000</m:t>
            </m:r>
          </m:num>
          <m:den>
            <m:r>
              <w:rPr>
                <w:rFonts w:ascii="Times New Roman" w:cs="Times New Roman" w:eastAsia="Times New Roman" w:hAnsi="Times New Roman"/>
                <w:sz w:val="24"/>
                <w:szCs w:val="24"/>
              </w:rPr>
              <m:t xml:space="preserve">10000</m:t>
            </m:r>
          </m:den>
        </m:f>
      </m:oMath>
      <w:r w:rsidDel="00000000" w:rsidR="00000000" w:rsidRPr="00000000">
        <w:rPr>
          <w:rFonts w:ascii="Times New Roman" w:cs="Times New Roman" w:eastAsia="Times New Roman" w:hAnsi="Times New Roman"/>
          <w:sz w:val="24"/>
          <w:szCs w:val="24"/>
          <w:rtl w:val="0"/>
        </w:rPr>
        <w:t xml:space="preserve">, 0.0, 1.0 )</w:t>
      </w:r>
    </w:p>
    <w:p w:rsidR="00000000" w:rsidDel="00000000" w:rsidP="00000000" w:rsidRDefault="00000000" w:rsidRPr="00000000" w14:paraId="0000000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budowy wejściowego tensora cech wybrano pięć pasm spektralnych oznaczonych jako B02, B03, B04, B08 oraz B11. Ze względu na zróżnicowaną rozdzielczość przestrzenną matryc w satelicie, pasmo B11 poddano resamplingowi z wykorzystaniem interpolacji dwuliniowej. Woda charakteryzuje się selektywną absorpcją promieniowania elektromagnetycznego. W paśmie widzialnym, zwłaszcza zielonym </w:t>
      </w:r>
      <m:oMath>
        <m:r>
          <w:rPr>
            <w:rFonts w:ascii="Times New Roman" w:cs="Times New Roman" w:eastAsia="Times New Roman" w:hAnsi="Times New Roman"/>
            <w:sz w:val="24"/>
            <w:szCs w:val="24"/>
          </w:rPr>
          <m:t xml:space="preserve">(B03</m:t>
        </m:r>
      </m:oMath>
      <w:r w:rsidDel="00000000" w:rsidR="00000000" w:rsidRPr="00000000">
        <w:rPr>
          <w:rFonts w:ascii="Times New Roman" w:cs="Times New Roman" w:eastAsia="Times New Roman" w:hAnsi="Times New Roman"/>
          <w:sz w:val="24"/>
          <w:szCs w:val="24"/>
          <w:rtl w:val="0"/>
        </w:rPr>
        <w:t xml:space="preserve">, ok. 560 nm), woda wykazuje umiarkowane odbicie, natomiast w bliskiej podczerwieni (</w:t>
      </w:r>
      <m:oMath>
        <m:r>
          <w:rPr>
            <w:rFonts w:ascii="Times New Roman" w:cs="Times New Roman" w:eastAsia="Times New Roman" w:hAnsi="Times New Roman"/>
            <w:sz w:val="24"/>
            <w:szCs w:val="24"/>
          </w:rPr>
          <m:t xml:space="preserve">B08</m:t>
        </m:r>
      </m:oMath>
      <w:r w:rsidDel="00000000" w:rsidR="00000000" w:rsidRPr="00000000">
        <w:rPr>
          <w:rFonts w:ascii="Times New Roman" w:cs="Times New Roman" w:eastAsia="Times New Roman" w:hAnsi="Times New Roman"/>
          <w:sz w:val="24"/>
          <w:szCs w:val="24"/>
          <w:rtl w:val="0"/>
        </w:rPr>
        <w:t xml:space="preserve">, ok. 842 nm) oraz krótkofalowej podczerwieni (</w:t>
      </w:r>
      <m:oMath>
        <m:r>
          <w:rPr>
            <w:rFonts w:ascii="Times New Roman" w:cs="Times New Roman" w:eastAsia="Times New Roman" w:hAnsi="Times New Roman"/>
            <w:sz w:val="24"/>
            <w:szCs w:val="24"/>
          </w:rPr>
          <m:t xml:space="preserve">B11</m:t>
        </m:r>
      </m:oMath>
      <w:r w:rsidDel="00000000" w:rsidR="00000000" w:rsidRPr="00000000">
        <w:rPr>
          <w:rFonts w:ascii="Times New Roman" w:cs="Times New Roman" w:eastAsia="Times New Roman" w:hAnsi="Times New Roman"/>
          <w:sz w:val="24"/>
          <w:szCs w:val="24"/>
          <w:rtl w:val="0"/>
        </w:rPr>
        <w:t xml:space="preserve">, ok. 1610 nm) absorpcja jest niemal całkowita. Zjawisko to odróżnia ją od roślinności i gleby, które w podczerwieni odbijają silnie. </w:t>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Znormalizowany różnicowy wskaźnik wody McFeetersa definiuje zależność opartą na kontraście pasma zielonego i bliskiej podczerwieni według wzoru: </w:t>
      </w:r>
    </w:p>
    <w:p w:rsidR="00000000" w:rsidDel="00000000" w:rsidP="00000000" w:rsidRDefault="00000000" w:rsidRPr="00000000" w14:paraId="0000000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NDWI = </w:t>
      </w:r>
      <m:oMath>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m:t>ρ</m:t>
                </m:r>
              </m:e>
              <m:sub>
                <m:r>
                  <w:rPr>
                    <w:rFonts w:ascii="Times New Roman" w:cs="Times New Roman" w:eastAsia="Times New Roman" w:hAnsi="Times New Roman"/>
                    <w:sz w:val="24"/>
                    <w:szCs w:val="24"/>
                  </w:rPr>
                  <m:t xml:space="preserve">Green</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NIR</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Green</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NIR</m:t>
                </m:r>
              </m:sub>
            </m:sSub>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ϵ</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B03 - B08</m:t>
            </m:r>
          </m:num>
          <m:den>
            <m:r>
              <w:rPr>
                <w:rFonts w:ascii="Times New Roman" w:cs="Times New Roman" w:eastAsia="Times New Roman" w:hAnsi="Times New Roman"/>
                <w:sz w:val="24"/>
                <w:szCs w:val="24"/>
              </w:rPr>
              <m:t xml:space="preserve">B03 + B08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-7</m:t>
                </m:r>
              </m:sup>
            </m:sSup>
          </m:den>
        </m:f>
      </m:oMath>
      <w:r w:rsidDel="00000000" w:rsidR="00000000" w:rsidRPr="00000000">
        <w:rPr>
          <w:rtl w:val="0"/>
        </w:rPr>
      </w:r>
    </w:p>
    <w:p w:rsidR="00000000" w:rsidDel="00000000" w:rsidP="00000000" w:rsidRDefault="00000000" w:rsidRPr="00000000" w14:paraId="0000001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Zmodyfikowany wskaźnik Xu zastępuje pasmo bliskiej podczerwieni pasmem </w:t>
      </w:r>
      <w:r w:rsidDel="00000000" w:rsidR="00000000" w:rsidRPr="00000000">
        <w:rPr>
          <w:rFonts w:ascii="Times New Roman" w:cs="Times New Roman" w:eastAsia="Times New Roman" w:hAnsi="Times New Roman"/>
          <w:sz w:val="24"/>
          <w:szCs w:val="24"/>
          <w:rtl w:val="0"/>
        </w:rPr>
        <w:t xml:space="preserve">SWIR</w:t>
      </w:r>
      <w:r w:rsidDel="00000000" w:rsidR="00000000" w:rsidRPr="00000000">
        <w:rPr>
          <w:rFonts w:ascii="Times New Roman" w:cs="Times New Roman" w:eastAsia="Times New Roman" w:hAnsi="Times New Roman"/>
          <w:sz w:val="24"/>
          <w:szCs w:val="24"/>
          <w:rtl w:val="0"/>
        </w:rPr>
        <w:t xml:space="preserve">, co eliminuje fałszywe detekcje na obszarach zabudowanych i glebach o podwyższonej wilgotności: </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MNDWI = </w:t>
      </w:r>
      <m:oMath>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m:t>ρ</m:t>
                </m:r>
              </m:e>
              <m:sub>
                <m:r>
                  <w:rPr>
                    <w:rFonts w:ascii="Times New Roman" w:cs="Times New Roman" w:eastAsia="Times New Roman" w:hAnsi="Times New Roman"/>
                    <w:sz w:val="24"/>
                    <w:szCs w:val="24"/>
                  </w:rPr>
                  <m:t xml:space="preserve">Green</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SWIR</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Green</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SWIR</m:t>
                </m:r>
              </m:sub>
            </m:sSub>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ϵ</m:t>
            </m:r>
          </m:den>
        </m:f>
      </m:oMath>
      <w:r w:rsidDel="00000000" w:rsidR="00000000" w:rsidRPr="00000000">
        <w:rPr>
          <w:rFonts w:ascii="Times New Roman" w:cs="Times New Roman" w:eastAsia="Times New Roman" w:hAnsi="Times New Roman"/>
          <w:sz w:val="24"/>
          <w:szCs w:val="24"/>
          <w:rtl w:val="0"/>
        </w:rPr>
        <w:t xml:space="preserve">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B03 - B11</m:t>
            </m:r>
          </m:num>
          <m:den>
            <m:r>
              <w:rPr>
                <w:rFonts w:ascii="Times New Roman" w:cs="Times New Roman" w:eastAsia="Times New Roman" w:hAnsi="Times New Roman"/>
                <w:sz w:val="24"/>
                <w:szCs w:val="24"/>
              </w:rPr>
              <m:t xml:space="preserve">B03 + B11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-7</m:t>
                </m:r>
              </m:sup>
            </m:sSup>
          </m:den>
        </m:f>
      </m:oMath>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gdzie stała </w:t>
      </w:r>
      <m:oMath>
        <m:r>
          <m:t>ϵ</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-7</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chroni operacje przed dzieleniem przez zero w cieniach i obszarach o zerowej reflektancji. Zestawienie pasm i wskaźników dało 7-kanałowy tensor wejściowy o wymiarach (7, H, W), który został przedstawiony w Tabeli 1.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Tabela 1. Struktura tensora wejściowego</w:t>
      </w:r>
      <w:r w:rsidDel="00000000" w:rsidR="00000000" w:rsidRPr="00000000">
        <w:rPr>
          <w:rtl w:val="0"/>
        </w:rPr>
      </w:r>
    </w:p>
    <w:tbl>
      <w:tblPr>
        <w:tblStyle w:val="Table1"/>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115"/>
        <w:gridCol w:w="2175"/>
        <w:gridCol w:w="3135"/>
        <w:tblGridChange w:id="0">
          <w:tblGrid>
            <w:gridCol w:w="1500"/>
            <w:gridCol w:w="2115"/>
            <w:gridCol w:w="217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Indeks kanału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Oznaczenie pasma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Długość fali </w:t>
            </w:r>
            <m:oMath>
              <m:r>
                <m:t>λ</m:t>
              </m:r>
            </m:oMath>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Rozdzielczość pierwotna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Kanał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B02 -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Kanał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B03 -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560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Kanał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B04 -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Kanał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B08 - 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842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Kanał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B11 - </w:t>
            </w:r>
            <w:r w:rsidDel="00000000" w:rsidR="00000000" w:rsidRPr="00000000">
              <w:rPr>
                <w:rFonts w:ascii="Times New Roman" w:cs="Times New Roman" w:eastAsia="Times New Roman" w:hAnsi="Times New Roman"/>
                <w:sz w:val="24"/>
                <w:szCs w:val="24"/>
                <w:rtl w:val="0"/>
              </w:rPr>
              <w:t xml:space="preserve">SWIR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 nm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Kanał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NDWI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Wyliczany z 10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Kanał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MNDWI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Wyliczany z 10/20 m</w:t>
            </w:r>
          </w:p>
        </w:tc>
      </w:tr>
    </w:tbl>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2"/>
        <w:numPr>
          <w:ilvl w:val="0"/>
          <w:numId w:val="1"/>
        </w:numPr>
        <w:ind w:left="720" w:hanging="360"/>
        <w:jc w:val="both"/>
        <w:rPr>
          <w:rFonts w:ascii="Times New Roman" w:cs="Times New Roman" w:eastAsia="Times New Roman" w:hAnsi="Times New Roman"/>
        </w:rPr>
      </w:pPr>
      <w:bookmarkStart w:colFirst="0" w:colLast="0" w:name="_6ki2ihexb5yt" w:id="3"/>
      <w:bookmarkEnd w:id="3"/>
      <w:r w:rsidDel="00000000" w:rsidR="00000000" w:rsidRPr="00000000">
        <w:rPr>
          <w:rFonts w:ascii="Times New Roman" w:cs="Times New Roman" w:eastAsia="Times New Roman" w:hAnsi="Times New Roman"/>
          <w:rtl w:val="0"/>
        </w:rPr>
        <w:t xml:space="preserve">PRZYGOTOWANIE ZBIORU DANYCH I MASEK REFERENCYJNYCH</w:t>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wyliczenia funkcji straty wykorzystano systemową warstwę klasyfikacji sceny </w:t>
      </w:r>
      <w:r w:rsidDel="00000000" w:rsidR="00000000" w:rsidRPr="00000000">
        <w:rPr>
          <w:rFonts w:ascii="Times New Roman" w:cs="Times New Roman" w:eastAsia="Times New Roman" w:hAnsi="Times New Roman"/>
          <w:sz w:val="24"/>
          <w:szCs w:val="24"/>
          <w:rtl w:val="0"/>
        </w:rPr>
        <w:t xml:space="preserve">SCL</w:t>
      </w:r>
      <w:r w:rsidDel="00000000" w:rsidR="00000000" w:rsidRPr="00000000">
        <w:rPr>
          <w:rFonts w:ascii="Times New Roman" w:cs="Times New Roman" w:eastAsia="Times New Roman" w:hAnsi="Times New Roman"/>
          <w:sz w:val="24"/>
          <w:szCs w:val="24"/>
          <w:rtl w:val="0"/>
        </w:rPr>
        <w:t xml:space="preserve"> (ang. Scene Classification Layer) dostarczaną przez algorytm korekcji atmosferycznej </w:t>
      </w:r>
      <w:r w:rsidDel="00000000" w:rsidR="00000000" w:rsidRPr="00000000">
        <w:rPr>
          <w:rFonts w:ascii="Times New Roman" w:cs="Times New Roman" w:eastAsia="Times New Roman" w:hAnsi="Times New Roman"/>
          <w:sz w:val="24"/>
          <w:szCs w:val="24"/>
          <w:rtl w:val="0"/>
        </w:rPr>
        <w:t xml:space="preserve">Sen2Cor</w:t>
      </w:r>
      <w:r w:rsidDel="00000000" w:rsidR="00000000" w:rsidRPr="00000000">
        <w:rPr>
          <w:rFonts w:ascii="Times New Roman" w:cs="Times New Roman" w:eastAsia="Times New Roman" w:hAnsi="Times New Roman"/>
          <w:sz w:val="24"/>
          <w:szCs w:val="24"/>
          <w:rtl w:val="0"/>
        </w:rPr>
        <w:t xml:space="preserve"> Europejskiej Agencji Kosmicznej. Za obszary wodne uznano wyłącznie piksele zaklasyfikowane do szóstej kategorii: </w:t>
      </w:r>
      <w:r w:rsidDel="00000000" w:rsidR="00000000" w:rsidRPr="00000000">
        <w:rPr>
          <w:rFonts w:ascii="Times New Roman" w:cs="Times New Roman" w:eastAsia="Times New Roman" w:hAnsi="Times New Roman"/>
          <w:i w:val="1"/>
          <w:iCs w:val="1"/>
          <w:sz w:val="24"/>
          <w:szCs w:val="24"/>
          <w:rtl w:val="0"/>
        </w:rPr>
        <w:t xml:space="preserve">water_mask</w:t>
      </w:r>
      <w:r w:rsidDel="00000000" w:rsidR="00000000" w:rsidRPr="00000000">
        <w:rPr>
          <w:rFonts w:ascii="Times New Roman" w:cs="Times New Roman" w:eastAsia="Times New Roman" w:hAnsi="Times New Roman"/>
          <w:i w:val="1"/>
          <w:iCs w:val="1"/>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scl_data</w:t>
      </w:r>
      <w:r w:rsidDel="00000000" w:rsidR="00000000" w:rsidRPr="00000000">
        <w:rPr>
          <w:rFonts w:ascii="Times New Roman" w:cs="Times New Roman" w:eastAsia="Times New Roman" w:hAnsi="Times New Roman"/>
          <w:i w:val="1"/>
          <w:iCs w:val="1"/>
          <w:sz w:val="24"/>
          <w:szCs w:val="24"/>
          <w:rtl w:val="0"/>
        </w:rPr>
        <w:t xml:space="preserve"> == 6)</w:t>
      </w:r>
      <w:r w:rsidDel="00000000" w:rsidR="00000000" w:rsidRPr="00000000">
        <w:rPr>
          <w:rFonts w:ascii="Times New Roman" w:cs="Times New Roman" w:eastAsia="Times New Roman" w:hAnsi="Times New Roman"/>
          <w:sz w:val="24"/>
          <w:szCs w:val="24"/>
          <w:rtl w:val="0"/>
        </w:rPr>
        <w:t xml:space="preserve">, odrzucając przy tym wszystkie fragmenty zaszumione błędem czujnika, cieniami chmur lub brakiem danych. Pobranie maski referencyjnej bezpośrednio z algorytmu SCL zapobiegło zjawisku wycieku danych, które zachodziłoby w sytuacji uczenia sieci na maskach generowanych z progowania tego samego indeksu MNDWI, który podawano na wejście modelu. Warstwę SCL o natywnej rozdzielczości 20 m </w:t>
      </w:r>
      <w:r w:rsidDel="00000000" w:rsidR="00000000" w:rsidRPr="00000000">
        <w:rPr>
          <w:rFonts w:ascii="Times New Roman" w:cs="Times New Roman" w:eastAsia="Times New Roman" w:hAnsi="Times New Roman"/>
          <w:sz w:val="24"/>
          <w:szCs w:val="24"/>
          <w:rtl w:val="0"/>
        </w:rPr>
        <w:t xml:space="preserve">przeskalowano</w:t>
      </w:r>
      <w:r w:rsidDel="00000000" w:rsidR="00000000" w:rsidRPr="00000000">
        <w:rPr>
          <w:rFonts w:ascii="Times New Roman" w:cs="Times New Roman" w:eastAsia="Times New Roman" w:hAnsi="Times New Roman"/>
          <w:sz w:val="24"/>
          <w:szCs w:val="24"/>
          <w:rtl w:val="0"/>
        </w:rPr>
        <w:t xml:space="preserve"> do siatki 10 m wyłącznie metodą najbliższego sąsiada, co zagwarantowało zachowanie dyskretnych wartości klasyfikatora bez wprowadzania sztucznych wartości pośrednich. </w:t>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Złożony wycinek poddano kafelkowaniu, dzieląc go na mniejsze bloki o stałym rozmiarze 256 px na </w:t>
      </w:r>
      <w:r w:rsidDel="00000000" w:rsidR="00000000" w:rsidRPr="00000000">
        <w:rPr>
          <w:rFonts w:ascii="Times New Roman" w:cs="Times New Roman" w:eastAsia="Times New Roman" w:hAnsi="Times New Roman"/>
          <w:sz w:val="24"/>
          <w:szCs w:val="24"/>
          <w:rtl w:val="0"/>
        </w:rPr>
        <w:t xml:space="preserve">256 px</w:t>
      </w:r>
      <w:r w:rsidDel="00000000" w:rsidR="00000000" w:rsidRPr="00000000">
        <w:rPr>
          <w:rFonts w:ascii="Times New Roman" w:cs="Times New Roman" w:eastAsia="Times New Roman" w:hAnsi="Times New Roman"/>
          <w:sz w:val="24"/>
          <w:szCs w:val="24"/>
          <w:rtl w:val="0"/>
        </w:rPr>
        <w:t xml:space="preserve">. W kodzie zaimplementowano mechanizm filtrowania, który akceptował jedynie te kafelki, na których obszar wodny stanowił 2%-98% procent powierzchni, gwarantując obecność linii brzegowych w danych treningowych. Wynikiem tego etapu było uzyskanie czystego zestawu danych, składającego się z piętnastu kafelków przeznaczonych do uczenia sieci oraz czterech kafelków przeznaczonych do walidacji. </w:t>
      </w:r>
    </w:p>
    <w:p w:rsidR="00000000" w:rsidDel="00000000" w:rsidP="00000000" w:rsidRDefault="00000000" w:rsidRPr="00000000" w14:paraId="0000003A">
      <w:pPr>
        <w:pStyle w:val="Heading2"/>
        <w:numPr>
          <w:ilvl w:val="0"/>
          <w:numId w:val="1"/>
        </w:numPr>
        <w:ind w:left="720" w:hanging="360"/>
        <w:rPr>
          <w:rFonts w:ascii="Times New Roman" w:cs="Times New Roman" w:eastAsia="Times New Roman" w:hAnsi="Times New Roman"/>
        </w:rPr>
      </w:pPr>
      <w:bookmarkStart w:colFirst="0" w:colLast="0" w:name="_94t1qzduzihl" w:id="4"/>
      <w:bookmarkEnd w:id="4"/>
      <w:r w:rsidDel="00000000" w:rsidR="00000000" w:rsidRPr="00000000">
        <w:rPr>
          <w:rFonts w:ascii="Times New Roman" w:cs="Times New Roman" w:eastAsia="Times New Roman" w:hAnsi="Times New Roman"/>
          <w:rtl w:val="0"/>
        </w:rPr>
        <w:t xml:space="preserve">ARCHITEKTURA MODELU I KONFIGURACJA PROCESU UCZENIA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zadaniu segmentacji pikselowej wykorzystano architekturę U-Net wyeksportowaną z biblioteki segmentation_models_pytorch. W roli enkodera analizującego cechy przestrzenne zastosowano sieć ResNet-34 zainicjowaną wagami przetrenowanymi na potężnym zbiorze ImageNet. Model dostosowano w taki sposób, aby prawidłowo przyjmował informacje siedmiokanałowe na wejściu i zwracał jednokanałową mapę prawdopodobieństwa na warstwie wyjściowej. Na wyjściu sieci zrezygnowano z jawnej warstwy sigmoidalnej, generując surowe logity w celu zachowania stabilności numerycznej podczas kalkulacji gradientów. </w:t>
      </w:r>
    </w:p>
    <w:p w:rsidR="00000000" w:rsidDel="00000000" w:rsidP="00000000" w:rsidRDefault="00000000" w:rsidRPr="00000000" w14:paraId="0000003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 względu na ograniczenia sprzętowe, cały proces treningowy przeprowadzono w środowisku procesora centralnego CPU i zaplanowano na dwadzieścia pięć epok. Zastosowano optymalizator AdamW z szybkością uczenia ustawioną na wartość 1e-4 oraz identycznym parametrem spadku wag służącym do regularyzacji. Funkcja kosztu została zdefiniowana jako hybryda łącząca w równych proporcjach błąd logistyczny Binary Cross-Entropy with Logits oraz błąd Dice:</w:t>
      </w:r>
    </w:p>
    <w:p w:rsidR="00000000" w:rsidDel="00000000" w:rsidP="00000000" w:rsidRDefault="00000000" w:rsidRPr="00000000" w14:paraId="0000003E">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Total</m:t>
            </m:r>
          </m:sub>
        </m:sSub>
        <m:r>
          <w:rPr>
            <w:rFonts w:ascii="Times New Roman" w:cs="Times New Roman" w:eastAsia="Times New Roman" w:hAnsi="Times New Roman"/>
            <w:sz w:val="24"/>
            <w:szCs w:val="24"/>
          </w:rPr>
          <m:t xml:space="preserve">=0.5</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BCE</m:t>
            </m:r>
          </m:sub>
        </m:sSub>
        <m:r>
          <w:rPr>
            <w:rFonts w:ascii="Times New Roman" w:cs="Times New Roman" w:eastAsia="Times New Roman" w:hAnsi="Times New Roman"/>
            <w:sz w:val="24"/>
            <w:szCs w:val="24"/>
          </w:rPr>
          <m:t xml:space="preserve">+0.5</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Dice</m:t>
            </m:r>
          </m:sub>
        </m:sSub>
      </m:oMath>
      <w:r w:rsidDel="00000000" w:rsidR="00000000" w:rsidRPr="00000000">
        <w:rPr>
          <w:rtl w:val="0"/>
        </w:rPr>
      </w:r>
    </w:p>
    <w:p w:rsidR="00000000" w:rsidDel="00000000" w:rsidP="00000000" w:rsidRDefault="00000000" w:rsidRPr="00000000" w14:paraId="00000040">
      <w:pPr>
        <w:spacing w:line="360" w:lineRule="auto"/>
        <w:ind w:left="0" w:firstLine="0"/>
        <w:jc w:val="center"/>
        <w:rPr>
          <w:rFonts w:ascii="Times New Roman" w:cs="Times New Roman" w:eastAsia="Times New Roman" w:hAnsi="Times New Roman"/>
          <w:sz w:val="24"/>
          <w:szCs w:val="24"/>
        </w:rPr>
      </w:pP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BCE</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log(</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)log(1-</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1">
      <w:pPr>
        <w:spacing w:line="360" w:lineRule="auto"/>
        <w:ind w:lef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Dice</m:t>
            </m:r>
          </m:sub>
        </m:sSub>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ϵ</m:t>
            </m:r>
          </m:num>
          <m:den>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ϵ</m:t>
            </m:r>
          </m:den>
        </m:f>
      </m:oMath>
      <w:r w:rsidDel="00000000" w:rsidR="00000000" w:rsidRPr="00000000">
        <w:rPr>
          <w:rtl w:val="0"/>
        </w:rPr>
      </w:r>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gdzie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oznacza logit wyjściowy dla danego piksela, </w:t>
      </w:r>
      <m:oMath>
        <m:r>
          <m:t>σ</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to wyliczone prawdopodobieństwo sigmoidalne,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stanowi binarną etykietę referencyjną, natomiast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odpowiada liczbie pikseli w przetwarzanej paczce. Rozmiar paczki danych w trakcie uczenia określono na cztery obrazy, natomiast ewaluację przeprowadzano pojedynczo. </w:t>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model bazowy zaimplementowano algorytm progowania Otsu, który analizuje histogram wskaźnika </w:t>
      </w:r>
      <w:r w:rsidDel="00000000" w:rsidR="00000000" w:rsidRPr="00000000">
        <w:rPr>
          <w:rFonts w:ascii="Times New Roman" w:cs="Times New Roman" w:eastAsia="Times New Roman" w:hAnsi="Times New Roman"/>
          <w:sz w:val="24"/>
          <w:szCs w:val="24"/>
          <w:rtl w:val="0"/>
        </w:rPr>
        <w:t xml:space="preserve">NDWI</w:t>
      </w:r>
      <w:r w:rsidDel="00000000" w:rsidR="00000000" w:rsidRPr="00000000">
        <w:rPr>
          <w:rFonts w:ascii="Times New Roman" w:cs="Times New Roman" w:eastAsia="Times New Roman" w:hAnsi="Times New Roman"/>
          <w:sz w:val="24"/>
          <w:szCs w:val="24"/>
          <w:rtl w:val="0"/>
        </w:rPr>
        <w:t xml:space="preserve"> i poszukuje progu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m:t>
            </m:r>
          </m:sup>
        </m:sSup>
      </m:oMath>
      <w:r w:rsidDel="00000000" w:rsidR="00000000" w:rsidRPr="00000000">
        <w:rPr>
          <w:rFonts w:ascii="Times New Roman" w:cs="Times New Roman" w:eastAsia="Times New Roman" w:hAnsi="Times New Roman"/>
          <w:sz w:val="24"/>
          <w:szCs w:val="24"/>
          <w:rtl w:val="0"/>
        </w:rPr>
        <w:t xml:space="preserve"> maksymalizującego wariancję międzyklasową: </w:t>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0" w:firstLine="0"/>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m:t>
            </m:r>
          </m:sup>
        </m:sSup>
        <m:r>
          <w:rPr>
            <w:rFonts w:ascii="Times New Roman" w:cs="Times New Roman" w:eastAsia="Times New Roman" w:hAnsi="Times New Roman"/>
            <w:sz w:val="24"/>
            <w:szCs w:val="24"/>
          </w:rPr>
          <m:t xml:space="preserve">=arg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max</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ω</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ω</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7">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gdzie </w:t>
      </w:r>
      <m:oMath>
        <m:sSub>
          <m:sSubPr>
            <m:ctrlPr>
              <w:rPr>
                <w:rFonts w:ascii="Times New Roman" w:cs="Times New Roman" w:eastAsia="Times New Roman" w:hAnsi="Times New Roman"/>
                <w:sz w:val="24"/>
                <w:szCs w:val="24"/>
              </w:rPr>
            </m:ctrlPr>
          </m:sSubPr>
          <m:e>
            <m:r>
              <m:t>ω</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ω</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odpowiadają </w:t>
      </w:r>
      <w:r w:rsidDel="00000000" w:rsidR="00000000" w:rsidRPr="00000000">
        <w:rPr>
          <w:rFonts w:ascii="Times New Roman" w:cs="Times New Roman" w:eastAsia="Times New Roman" w:hAnsi="Times New Roman"/>
          <w:sz w:val="24"/>
          <w:szCs w:val="24"/>
          <w:rtl w:val="0"/>
        </w:rPr>
        <w:t xml:space="preserve">prawdopodobieństwom</w:t>
      </w:r>
      <w:r w:rsidDel="00000000" w:rsidR="00000000" w:rsidRPr="00000000">
        <w:rPr>
          <w:rFonts w:ascii="Times New Roman" w:cs="Times New Roman" w:eastAsia="Times New Roman" w:hAnsi="Times New Roman"/>
          <w:sz w:val="24"/>
          <w:szCs w:val="24"/>
          <w:rtl w:val="0"/>
        </w:rPr>
        <w:t xml:space="preserve"> wystąpienia klas tła i wody, a </w:t>
      </w:r>
      <m:oMath>
        <m:sSub>
          <m:sSubPr>
            <m:ctrlPr>
              <w:rPr>
                <w:rFonts w:ascii="Times New Roman" w:cs="Times New Roman" w:eastAsia="Times New Roman" w:hAnsi="Times New Roman"/>
                <w:sz w:val="24"/>
                <w:szCs w:val="24"/>
              </w:rPr>
            </m:ctrlPr>
          </m:sSubPr>
          <m:e>
            <m:r>
              <m:t>μ</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μ</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(t)</m:t>
        </m:r>
      </m:oMath>
      <w:r w:rsidDel="00000000" w:rsidR="00000000" w:rsidRPr="00000000">
        <w:rPr>
          <w:rFonts w:ascii="Times New Roman" w:cs="Times New Roman" w:eastAsia="Times New Roman" w:hAnsi="Times New Roman"/>
          <w:sz w:val="24"/>
          <w:szCs w:val="24"/>
          <w:rtl w:val="0"/>
        </w:rPr>
        <w:t xml:space="preserve"> oznaczają ich wartości średnie. </w:t>
      </w:r>
    </w:p>
    <w:p w:rsidR="00000000" w:rsidDel="00000000" w:rsidP="00000000" w:rsidRDefault="00000000" w:rsidRPr="00000000" w14:paraId="00000049">
      <w:pPr>
        <w:pStyle w:val="Heading2"/>
        <w:numPr>
          <w:ilvl w:val="0"/>
          <w:numId w:val="1"/>
        </w:numPr>
        <w:spacing w:line="360" w:lineRule="auto"/>
        <w:ind w:left="720" w:hanging="360"/>
        <w:jc w:val="both"/>
        <w:rPr>
          <w:rFonts w:ascii="Times New Roman" w:cs="Times New Roman" w:eastAsia="Times New Roman" w:hAnsi="Times New Roman"/>
        </w:rPr>
      </w:pPr>
      <w:bookmarkStart w:colFirst="0" w:colLast="0" w:name="_dgo3ahfs6s0c" w:id="5"/>
      <w:bookmarkEnd w:id="5"/>
      <w:r w:rsidDel="00000000" w:rsidR="00000000" w:rsidRPr="00000000">
        <w:rPr>
          <w:rFonts w:ascii="Times New Roman" w:cs="Times New Roman" w:eastAsia="Times New Roman" w:hAnsi="Times New Roman"/>
          <w:rtl w:val="0"/>
        </w:rPr>
        <w:t xml:space="preserve">ANALIZA ZBIEŻNOŚCI I WYNIKI TRENINGU</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 optymalizacji wag przebiegał w sposób niezwykle stabilny, co doskonale udowadniają zrzucone logi z kolejnych iteracji. W pierwszej epoce model zanotował błąd treningowy na poziomie 0.5275 oraz błąd walidacyjny rzędu 0.5810, osiągając przy tym znikomą skuteczność mierzoną metryką Val </w:t>
      </w:r>
      <w:r w:rsidDel="00000000" w:rsidR="00000000" w:rsidRPr="00000000">
        <w:rPr>
          <w:rFonts w:ascii="Times New Roman" w:cs="Times New Roman" w:eastAsia="Times New Roman" w:hAnsi="Times New Roman"/>
          <w:sz w:val="24"/>
          <w:szCs w:val="24"/>
          <w:rtl w:val="0"/>
        </w:rPr>
        <w:t xml:space="preserve">IoU</w:t>
      </w:r>
      <w:r w:rsidDel="00000000" w:rsidR="00000000" w:rsidRPr="00000000">
        <w:rPr>
          <w:rFonts w:ascii="Times New Roman" w:cs="Times New Roman" w:eastAsia="Times New Roman" w:hAnsi="Times New Roman"/>
          <w:sz w:val="24"/>
          <w:szCs w:val="24"/>
          <w:rtl w:val="0"/>
        </w:rPr>
        <w:t xml:space="preserve"> wynoszącą 0.2261. Zjawisko to jest naturalnym następstwem transferu wiedzy - podczas gdy głębsze warstwy enkodera posiadały gotowe filtry detekcji krawędzi, pierwsza warstwa konwolucyjna musiała od podstaw wyznaczyć wagi dla nietypowego, 7-kanałowego tensora wejściowego. </w:t>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każdą kolejną epoką parametry błędu ulegały redukcji. Już w dziesiątej epoce błąd treningowy spadł do poziomu 0.1819, a główna metryka ewaluacyjna </w:t>
      </w:r>
      <w:r w:rsidDel="00000000" w:rsidR="00000000" w:rsidRPr="00000000">
        <w:rPr>
          <w:rFonts w:ascii="Times New Roman" w:cs="Times New Roman" w:eastAsia="Times New Roman" w:hAnsi="Times New Roman"/>
          <w:sz w:val="24"/>
          <w:szCs w:val="24"/>
          <w:rtl w:val="0"/>
        </w:rPr>
        <w:t xml:space="preserve">IoU</w:t>
      </w:r>
      <w:r w:rsidDel="00000000" w:rsidR="00000000" w:rsidRPr="00000000">
        <w:rPr>
          <w:rFonts w:ascii="Times New Roman" w:cs="Times New Roman" w:eastAsia="Times New Roman" w:hAnsi="Times New Roman"/>
          <w:sz w:val="24"/>
          <w:szCs w:val="24"/>
          <w:rtl w:val="0"/>
        </w:rPr>
        <w:t xml:space="preserve"> przekroczyła granicę 0.97. Proces uczenia zakończył się po dwudziestu pięciu epokach z końcowym, niezwykle niskim błędem na zbiorze uczącym równym 0.1117 i walidacyjnym schodzącym do poziomu 0.1015. Najlepsza zaobserwowana wartość Val IoU dla tego zbioru ukształtowała się na poziomie 0.9855, co wskazuje na doskonałe dopasowanie geometrii modelu do specyfiki lokalnych zbiorników wodnych, bez jakichkolwiek oznak zjawiska przetrenowania. Zastosowany mechanizm wczesnego zapisu najlepszego punktu kontrolnego zabezpieczył wagi modelu przed ewentualnymi oscylacjami w ostatnich iteracjach. </w:t>
      </w:r>
    </w:p>
    <w:p w:rsidR="00000000" w:rsidDel="00000000" w:rsidP="00000000" w:rsidRDefault="00000000" w:rsidRPr="00000000" w14:paraId="0000004C">
      <w:pPr>
        <w:pStyle w:val="Heading2"/>
        <w:numPr>
          <w:ilvl w:val="0"/>
          <w:numId w:val="1"/>
        </w:numPr>
        <w:spacing w:line="360" w:lineRule="auto"/>
        <w:ind w:left="720" w:hanging="360"/>
        <w:rPr>
          <w:rFonts w:ascii="Times New Roman" w:cs="Times New Roman" w:eastAsia="Times New Roman" w:hAnsi="Times New Roman"/>
        </w:rPr>
      </w:pPr>
      <w:bookmarkStart w:colFirst="0" w:colLast="0" w:name="_xazc9fhnqgby" w:id="6"/>
      <w:bookmarkEnd w:id="6"/>
      <w:r w:rsidDel="00000000" w:rsidR="00000000" w:rsidRPr="00000000">
        <w:rPr>
          <w:rFonts w:ascii="Times New Roman" w:cs="Times New Roman" w:eastAsia="Times New Roman" w:hAnsi="Times New Roman"/>
          <w:rtl w:val="0"/>
        </w:rPr>
        <w:t xml:space="preserve">EWALUACJA KOŃCOWA I ANALIZA PORÓWNAWCZA Z MODELEM BAZOWYM</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celu obiektywnego porównania modeli metryki wyliczono w sposób zagregowany dla całego zbioru walidacyjnego, </w:t>
      </w:r>
      <w:r w:rsidDel="00000000" w:rsidR="00000000" w:rsidRPr="00000000">
        <w:rPr>
          <w:rFonts w:ascii="Times New Roman" w:cs="Times New Roman" w:eastAsia="Times New Roman" w:hAnsi="Times New Roman"/>
          <w:sz w:val="24"/>
          <w:szCs w:val="24"/>
          <w:rtl w:val="0"/>
        </w:rPr>
        <w:t xml:space="preserve">akumulując</w:t>
      </w:r>
      <w:r w:rsidDel="00000000" w:rsidR="00000000" w:rsidRPr="00000000">
        <w:rPr>
          <w:rFonts w:ascii="Times New Roman" w:cs="Times New Roman" w:eastAsia="Times New Roman" w:hAnsi="Times New Roman"/>
          <w:sz w:val="24"/>
          <w:szCs w:val="24"/>
          <w:rtl w:val="0"/>
        </w:rPr>
        <w:t xml:space="preserve"> sumy iloczynów i sum logicznych zbiorów:  </w:t>
      </w:r>
    </w:p>
    <w:p w:rsidR="00000000" w:rsidDel="00000000" w:rsidP="00000000" w:rsidRDefault="00000000" w:rsidRPr="00000000" w14:paraId="0000004E">
      <w:pPr>
        <w:spacing w:line="360" w:lineRule="auto"/>
        <w:ind w:left="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Global IoU=</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|P </m:t>
            </m:r>
            <m:r>
              <w:rPr>
                <w:b w:val="1"/>
                <w:bCs w:val="1"/>
                <w:sz w:val="24"/>
                <w:szCs w:val="24"/>
              </w:rPr>
              <m:t xml:space="preserve">∩</m:t>
            </m:r>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ϵ</m:t>
            </m:r>
          </m:num>
          <m:den>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|P </m:t>
            </m:r>
            <m:r>
              <w:rPr>
                <w:b w:val="1"/>
                <w:bCs w:val="1"/>
                <w:sz w:val="24"/>
                <w:szCs w:val="24"/>
              </w:rPr>
              <m:t xml:space="preserve">∪</m:t>
            </m:r>
            <m:r>
              <w:rPr>
                <w:rFonts w:ascii="Times New Roman" w:cs="Times New Roman" w:eastAsia="Times New Roman" w:hAnsi="Times New Roman"/>
                <w:sz w:val="24"/>
                <w:szCs w:val="24"/>
              </w:rPr>
              <m:t xml:space="preserve"> T|+</m:t>
            </m:r>
            <m:r>
              <w:rPr>
                <w:rFonts w:ascii="Times New Roman" w:cs="Times New Roman" w:eastAsia="Times New Roman" w:hAnsi="Times New Roman"/>
                <w:sz w:val="24"/>
                <w:szCs w:val="24"/>
              </w:rPr>
              <m:t>ϵ</m:t>
            </m:r>
          </m:den>
        </m:f>
      </m:oMath>
      <w:r w:rsidDel="00000000" w:rsidR="00000000" w:rsidRPr="00000000">
        <w:rPr>
          <w:rFonts w:ascii="Times New Roman" w:cs="Times New Roman" w:eastAsia="Times New Roman" w:hAnsi="Times New Roman"/>
          <w:sz w:val="24"/>
          <w:szCs w:val="24"/>
          <w:rtl w:val="0"/>
        </w:rPr>
        <w:t xml:space="preserve">,</w:t>
        <w:tab/>
      </w:r>
      <m:oMath>
        <m:r>
          <w:rPr>
            <w:rFonts w:ascii="Times New Roman" w:cs="Times New Roman" w:eastAsia="Times New Roman" w:hAnsi="Times New Roman"/>
            <w:sz w:val="24"/>
            <w:szCs w:val="24"/>
          </w:rPr>
          <m:t xml:space="preserve">Global Dice=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|P </m:t>
            </m:r>
            <m:r>
              <w:rPr>
                <w:b w:val="1"/>
                <w:bCs w:val="1"/>
                <w:sz w:val="24"/>
                <w:szCs w:val="24"/>
              </w:rPr>
              <m:t xml:space="preserve">∩</m:t>
            </m:r>
            <m:r>
              <w:rPr>
                <w:rFonts w:ascii="Times New Roman" w:cs="Times New Roman" w:eastAsia="Times New Roman" w:hAnsi="Times New Roman"/>
                <w:sz w:val="24"/>
                <w:szCs w:val="24"/>
              </w:rPr>
              <m:t xml:space="preserve"> T|+</m:t>
            </m:r>
            <m:r>
              <w:rPr>
                <w:rFonts w:ascii="Times New Roman" w:cs="Times New Roman" w:eastAsia="Times New Roman" w:hAnsi="Times New Roman"/>
                <w:sz w:val="24"/>
                <w:szCs w:val="24"/>
              </w:rPr>
              <m:t>ϵ</m:t>
            </m:r>
          </m:num>
          <m:den>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Σ</m:t>
            </m:r>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ϵ</m:t>
            </m:r>
          </m:den>
        </m:f>
      </m:oMath>
      <w:r w:rsidDel="00000000" w:rsidR="00000000" w:rsidRPr="00000000">
        <w:rPr>
          <w:rtl w:val="0"/>
        </w:rPr>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Wydajność wytrenowanej sieci U-Net została dodatkowo zestawiona z modelem bazowym działającym w oparciu o algorytm progowania Otsu, który zaaplikowano bezpośrednio do wyliczonego w pierwszym etapie indeksu NDWI. Podejście oparte na klasycznej analizie obrazu osiągnęło w ujęciu globalnym wartość </w:t>
      </w:r>
      <w:r w:rsidDel="00000000" w:rsidR="00000000" w:rsidRPr="00000000">
        <w:rPr>
          <w:rFonts w:ascii="Times New Roman" w:cs="Times New Roman" w:eastAsia="Times New Roman" w:hAnsi="Times New Roman"/>
          <w:sz w:val="24"/>
          <w:szCs w:val="24"/>
          <w:rtl w:val="0"/>
        </w:rPr>
        <w:t xml:space="preserve">IoU</w:t>
      </w:r>
      <w:r w:rsidDel="00000000" w:rsidR="00000000" w:rsidRPr="00000000">
        <w:rPr>
          <w:rFonts w:ascii="Times New Roman" w:cs="Times New Roman" w:eastAsia="Times New Roman" w:hAnsi="Times New Roman"/>
          <w:sz w:val="24"/>
          <w:szCs w:val="24"/>
          <w:rtl w:val="0"/>
        </w:rPr>
        <w:t xml:space="preserve"> rzędu 0.9851 oraz Dice na poziomie 0.9925. Sieć konwolucyjna wypadła mimo to lepiej - wytrenowany model U-Net, weryfikowany przy standardowym progu odcięcia 0.5, osiągnął globalne IoU równe 0.9855 i metrykę Dice na poziomie 0.9927. </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Wygenerowany w ramach podsumowania plik graficzny zapisany pod nazwą </w:t>
      </w:r>
      <w:r w:rsidDel="00000000" w:rsidR="00000000" w:rsidRPr="00000000">
        <w:rPr>
          <w:rFonts w:ascii="Times New Roman" w:cs="Times New Roman" w:eastAsia="Times New Roman" w:hAnsi="Times New Roman"/>
          <w:sz w:val="24"/>
          <w:szCs w:val="24"/>
          <w:rtl w:val="0"/>
        </w:rPr>
        <w:t xml:space="preserve">evaluation_results.jpg</w:t>
      </w:r>
      <w:r w:rsidDel="00000000" w:rsidR="00000000" w:rsidRPr="00000000">
        <w:rPr>
          <w:rFonts w:ascii="Times New Roman" w:cs="Times New Roman" w:eastAsia="Times New Roman" w:hAnsi="Times New Roman"/>
          <w:sz w:val="24"/>
          <w:szCs w:val="24"/>
          <w:rtl w:val="0"/>
        </w:rPr>
        <w:t xml:space="preserve"> pozwala na wizualną ocenę predykcji. Porównanie naturalnej kompozycji RGB, maski stworzonej algorytmem progowania Otsu, probabilistycznej mapy wyjściowej z sieci U-Net i ostatecznej referencyjnej warstwy SCL udowadnia, że obie metody świetnie radzą sobie z modelowaniem skomplikowanej linii brzegowej. Architektura oparta o głębokie uczenie maszynowe zapewnia jednak minimalnie lepszą szczelność segmentacji i skuteczniej ignoruje lokalne nieścisłości. </w:t>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Rys. 1. Zestawienie kompozycji RGB, metody Otsu, predykcji U-Net oraz maski referencyjnej.</w:t>
      </w:r>
      <w:r w:rsidDel="00000000" w:rsidR="00000000" w:rsidRPr="00000000">
        <w:rPr>
          <w:rFonts w:ascii="Times New Roman" w:cs="Times New Roman" w:eastAsia="Times New Roman" w:hAnsi="Times New Roman"/>
          <w:sz w:val="24"/>
          <w:szCs w:val="24"/>
        </w:rPr>
        <w:drawing>
          <wp:inline distB="114300" distT="114300" distL="114300" distR="114300">
            <wp:extent cx="5731200" cy="143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Szczegółowa analiza kafelka przedstawionego na Rys. 1 pozwala precyzyjnie zweryfikować zachowanie obu metod na trudnym fragmencie wybrzeża, obejmującym zróżnicowany cypel lądu, wąski kanał wodny po lewej stronie oraz toń z widocznymi smugami prądowymi i zawiesiną. Na kompozycji RGB wzdłuż linii brzegowej wyraźnie odznacza się </w:t>
      </w:r>
      <w:r w:rsidDel="00000000" w:rsidR="00000000" w:rsidRPr="00000000">
        <w:rPr>
          <w:rFonts w:ascii="Times New Roman" w:cs="Times New Roman" w:eastAsia="Times New Roman" w:hAnsi="Times New Roman"/>
          <w:sz w:val="24"/>
          <w:szCs w:val="24"/>
          <w:rtl w:val="0"/>
        </w:rPr>
        <w:t xml:space="preserve">jaskrawozielony</w:t>
      </w:r>
      <w:r w:rsidDel="00000000" w:rsidR="00000000" w:rsidRPr="00000000">
        <w:rPr>
          <w:rFonts w:ascii="Times New Roman" w:cs="Times New Roman" w:eastAsia="Times New Roman" w:hAnsi="Times New Roman"/>
          <w:sz w:val="24"/>
          <w:szCs w:val="24"/>
          <w:rtl w:val="0"/>
        </w:rPr>
        <w:t xml:space="preserve"> pas roślinności szuwarowej i płycizn. Na drugim panelu, prezentującym wynik progowania Otsu, widoczne są charakterystyczne artefakty tej metody. Tuż na południe od wysuniętego cypla algorytm wygenerował oderwane od brzegu, białe skupiska pikseli w otwartej wodzie. Są to fałszywe negatywy wywołane lokalną obecnością podpowierzchniowej roślinności oraz zawiesiny mineralnej, która podwyższa reflektancję w bliskiej podczerwieni B08 i zaniża wartość wskaźnika </w:t>
      </w:r>
      <w:r w:rsidDel="00000000" w:rsidR="00000000" w:rsidRPr="00000000">
        <w:rPr>
          <w:rFonts w:ascii="Times New Roman" w:cs="Times New Roman" w:eastAsia="Times New Roman" w:hAnsi="Times New Roman"/>
          <w:sz w:val="24"/>
          <w:szCs w:val="24"/>
          <w:rtl w:val="0"/>
        </w:rPr>
        <w:t xml:space="preserve">NDWI</w:t>
      </w:r>
      <w:r w:rsidDel="00000000" w:rsidR="00000000" w:rsidRPr="00000000">
        <w:rPr>
          <w:rFonts w:ascii="Times New Roman" w:cs="Times New Roman" w:eastAsia="Times New Roman" w:hAnsi="Times New Roman"/>
          <w:sz w:val="24"/>
          <w:szCs w:val="24"/>
          <w:rtl w:val="0"/>
        </w:rPr>
        <w:t xml:space="preserve"> poniżej wyznaczonego globalnie progu. Ponadto wzdłuż wąskiego kanału po lewej stronie progowanie </w:t>
      </w:r>
      <w:r w:rsidDel="00000000" w:rsidR="00000000" w:rsidRPr="00000000">
        <w:rPr>
          <w:rFonts w:ascii="Times New Roman" w:cs="Times New Roman" w:eastAsia="Times New Roman" w:hAnsi="Times New Roman"/>
          <w:sz w:val="24"/>
          <w:szCs w:val="24"/>
          <w:rtl w:val="0"/>
        </w:rPr>
        <w:t xml:space="preserve">jednoindeksowe</w:t>
      </w:r>
      <w:r w:rsidDel="00000000" w:rsidR="00000000" w:rsidRPr="00000000">
        <w:rPr>
          <w:rFonts w:ascii="Times New Roman" w:cs="Times New Roman" w:eastAsia="Times New Roman" w:hAnsi="Times New Roman"/>
          <w:sz w:val="24"/>
          <w:szCs w:val="24"/>
          <w:rtl w:val="0"/>
        </w:rPr>
        <w:t xml:space="preserve"> wykazuje tendencję do zrywania ciągłości cieku w miejscach silniejszego zarastania koryta. Predykcja sieci U-Net widoczna na trzecim panelu całkowicie eliminuje te niedoskonałości. Model, korzystając z pełnego 7-kanałowego tensora (w tym pasma </w:t>
      </w:r>
      <w:r w:rsidDel="00000000" w:rsidR="00000000" w:rsidRPr="00000000">
        <w:rPr>
          <w:rFonts w:ascii="Times New Roman" w:cs="Times New Roman" w:eastAsia="Times New Roman" w:hAnsi="Times New Roman"/>
          <w:sz w:val="24"/>
          <w:szCs w:val="24"/>
          <w:rtl w:val="0"/>
        </w:rPr>
        <w:t xml:space="preserve">SWIR</w:t>
      </w:r>
      <w:r w:rsidDel="00000000" w:rsidR="00000000" w:rsidRPr="00000000">
        <w:rPr>
          <w:rFonts w:ascii="Times New Roman" w:cs="Times New Roman" w:eastAsia="Times New Roman" w:hAnsi="Times New Roman"/>
          <w:sz w:val="24"/>
          <w:szCs w:val="24"/>
          <w:rtl w:val="0"/>
        </w:rPr>
        <w:t xml:space="preserve"> B11 oraz wskaźnika </w:t>
      </w:r>
      <w:r w:rsidDel="00000000" w:rsidR="00000000" w:rsidRPr="00000000">
        <w:rPr>
          <w:rFonts w:ascii="Times New Roman" w:cs="Times New Roman" w:eastAsia="Times New Roman" w:hAnsi="Times New Roman"/>
          <w:sz w:val="24"/>
          <w:szCs w:val="24"/>
          <w:rtl w:val="0"/>
        </w:rPr>
        <w:t xml:space="preserve">MNDWI</w:t>
      </w:r>
      <w:r w:rsidDel="00000000" w:rsidR="00000000" w:rsidRPr="00000000">
        <w:rPr>
          <w:rFonts w:ascii="Times New Roman" w:cs="Times New Roman" w:eastAsia="Times New Roman" w:hAnsi="Times New Roman"/>
          <w:sz w:val="24"/>
          <w:szCs w:val="24"/>
          <w:rtl w:val="0"/>
        </w:rPr>
        <w:t xml:space="preserve">) i przestrzennego kontekstu sąsiednich pikseli, bezbłędnie </w:t>
      </w:r>
      <w:r w:rsidDel="00000000" w:rsidR="00000000" w:rsidRPr="00000000">
        <w:rPr>
          <w:rFonts w:ascii="Times New Roman" w:cs="Times New Roman" w:eastAsia="Times New Roman" w:hAnsi="Times New Roman"/>
          <w:sz w:val="24"/>
          <w:szCs w:val="24"/>
          <w:rtl w:val="0"/>
        </w:rPr>
        <w:t xml:space="preserve">odfiltrował</w:t>
      </w:r>
      <w:r w:rsidDel="00000000" w:rsidR="00000000" w:rsidRPr="00000000">
        <w:rPr>
          <w:rFonts w:ascii="Times New Roman" w:cs="Times New Roman" w:eastAsia="Times New Roman" w:hAnsi="Times New Roman"/>
          <w:sz w:val="24"/>
          <w:szCs w:val="24"/>
          <w:rtl w:val="0"/>
        </w:rPr>
        <w:t xml:space="preserve"> szum w toni wodnej, zachowując jednolitą powierzchnię akwenu i odrzucając fałszywe wysepki wygenerowane przez Otsu. Jednocześnie sieć precyzyjnie </w:t>
      </w:r>
      <w:r w:rsidDel="00000000" w:rsidR="00000000" w:rsidRPr="00000000">
        <w:rPr>
          <w:rFonts w:ascii="Times New Roman" w:cs="Times New Roman" w:eastAsia="Times New Roman" w:hAnsi="Times New Roman"/>
          <w:sz w:val="24"/>
          <w:szCs w:val="24"/>
          <w:rtl w:val="0"/>
        </w:rPr>
        <w:t xml:space="preserve">odwzorowała</w:t>
      </w:r>
      <w:r w:rsidDel="00000000" w:rsidR="00000000" w:rsidRPr="00000000">
        <w:rPr>
          <w:rFonts w:ascii="Times New Roman" w:cs="Times New Roman" w:eastAsia="Times New Roman" w:hAnsi="Times New Roman"/>
          <w:sz w:val="24"/>
          <w:szCs w:val="24"/>
          <w:rtl w:val="0"/>
        </w:rPr>
        <w:t xml:space="preserve"> przebieg wąskiego kanału rzecznego, utrzymując jego pełną drożność hydrauliczną na całej długości. Kluczowy wniosek płynie z porównania predykcji U-Net z maską referencyjną SCL na czwartym panelu. Maska SCL wykazuje wyraźną, schodkową strukturę krawędzi, będącą bezpośrednią konsekwencją </w:t>
      </w:r>
      <w:r w:rsidDel="00000000" w:rsidR="00000000" w:rsidRPr="00000000">
        <w:rPr>
          <w:rFonts w:ascii="Times New Roman" w:cs="Times New Roman" w:eastAsia="Times New Roman" w:hAnsi="Times New Roman"/>
          <w:sz w:val="24"/>
          <w:szCs w:val="24"/>
          <w:rtl w:val="0"/>
        </w:rPr>
        <w:t xml:space="preserve">powiększenia</w:t>
      </w:r>
      <w:r w:rsidDel="00000000" w:rsidR="00000000" w:rsidRPr="00000000">
        <w:rPr>
          <w:rFonts w:ascii="Times New Roman" w:cs="Times New Roman" w:eastAsia="Times New Roman" w:hAnsi="Times New Roman"/>
          <w:sz w:val="24"/>
          <w:szCs w:val="24"/>
          <w:rtl w:val="0"/>
        </w:rPr>
        <w:t xml:space="preserve"> kategorycznych danych z natywnej rozdzielczości 20 m metodą najbliższego sąsiada. Zjawisko to widać szczególnie jaskrawo wzdłuż wschodniego brzegu cypla oraz na obrzeżach kanału. Sieć U-Net nie </w:t>
      </w:r>
      <w:r w:rsidDel="00000000" w:rsidR="00000000" w:rsidRPr="00000000">
        <w:rPr>
          <w:rFonts w:ascii="Times New Roman" w:cs="Times New Roman" w:eastAsia="Times New Roman" w:hAnsi="Times New Roman"/>
          <w:sz w:val="24"/>
          <w:szCs w:val="24"/>
          <w:rtl w:val="0"/>
        </w:rPr>
        <w:t xml:space="preserve">powieliła</w:t>
      </w:r>
      <w:r w:rsidDel="00000000" w:rsidR="00000000" w:rsidRPr="00000000">
        <w:rPr>
          <w:rFonts w:ascii="Times New Roman" w:cs="Times New Roman" w:eastAsia="Times New Roman" w:hAnsi="Times New Roman"/>
          <w:sz w:val="24"/>
          <w:szCs w:val="24"/>
          <w:rtl w:val="0"/>
        </w:rPr>
        <w:t xml:space="preserve"> tej schodkowości. Dzięki połączeniom omijającym, które przenoszą wysokorozdzielcze informacje przestrzenne z początkowych poziomów enkodera zasilanych pasmami 10-metrowymi (B02, B03, B04, B08), model wygenerował gładką, naturalną granicę lądu i wody, wiernie pokrywającą się z rzeczywistą geometrią widoczną na naturalnej kompozycji barwnej. Oznacza to, że sieć nauczyła się semantycznej definicji wody z 20-metrowej maski </w:t>
      </w:r>
      <w:r w:rsidDel="00000000" w:rsidR="00000000" w:rsidRPr="00000000">
        <w:rPr>
          <w:rFonts w:ascii="Times New Roman" w:cs="Times New Roman" w:eastAsia="Times New Roman" w:hAnsi="Times New Roman"/>
          <w:sz w:val="24"/>
          <w:szCs w:val="24"/>
          <w:rtl w:val="0"/>
        </w:rPr>
        <w:t xml:space="preserve">Sen2Cor</w:t>
      </w:r>
      <w:r w:rsidDel="00000000" w:rsidR="00000000" w:rsidRPr="00000000">
        <w:rPr>
          <w:rFonts w:ascii="Times New Roman" w:cs="Times New Roman" w:eastAsia="Times New Roman" w:hAnsi="Times New Roman"/>
          <w:sz w:val="24"/>
          <w:szCs w:val="24"/>
          <w:rtl w:val="0"/>
        </w:rPr>
        <w:t xml:space="preserve">, ale precyzję przestrzenną krawędzi wyznacza w oparciu o ostrzejsze pasma 10-metrowe, przewyższając rozdzielczość samego zbioru uczącego. </w:t>
      </w:r>
    </w:p>
    <w:p w:rsidR="00000000" w:rsidDel="00000000" w:rsidP="00000000" w:rsidRDefault="00000000" w:rsidRPr="00000000" w14:paraId="00000055">
      <w:pPr>
        <w:pStyle w:val="Heading2"/>
        <w:numPr>
          <w:ilvl w:val="0"/>
          <w:numId w:val="1"/>
        </w:numPr>
        <w:spacing w:line="360" w:lineRule="auto"/>
        <w:ind w:left="720" w:hanging="360"/>
        <w:jc w:val="both"/>
        <w:rPr>
          <w:rFonts w:ascii="Times New Roman" w:cs="Times New Roman" w:eastAsia="Times New Roman" w:hAnsi="Times New Roman"/>
        </w:rPr>
      </w:pPr>
      <w:bookmarkStart w:colFirst="0" w:colLast="0" w:name="_gnzfu1klpj2u" w:id="7"/>
      <w:bookmarkEnd w:id="7"/>
      <w:r w:rsidDel="00000000" w:rsidR="00000000" w:rsidRPr="00000000">
        <w:rPr>
          <w:rFonts w:ascii="Times New Roman" w:cs="Times New Roman" w:eastAsia="Times New Roman" w:hAnsi="Times New Roman"/>
          <w:rtl w:val="0"/>
        </w:rPr>
        <w:t xml:space="preserve">WNIOSKI I PERSPEKTYWY ROZWOJU</w:t>
      </w:r>
    </w:p>
    <w:p w:rsidR="00000000" w:rsidDel="00000000" w:rsidP="00000000" w:rsidRDefault="00000000" w:rsidRPr="00000000" w14:paraId="0000005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Zrealizowany eksperyment potwierdził wysoką skuteczność konwolucyjnej sieci U-Net z enkoderem ResNet-34 w zadaniu wielospektralnej segmentacji wód powierzchniowych. Zastąpienie prostej maski z progowania MNDWI niezależną warstwą klasyfikacyjną SCL wyeliminowało ryzyko wycieku danych, a włączenie pasma SWIR (B11) oraz wskaźników spektralnych do 7-kanałowego tensora wejściowego dostarczyło modelowi kompletnych cech fizycznych. Choć klasyczna metoda Otsu na wskaźniku NDWI osiągnęła wysokie globalne metryki (IoU równe 0.9851), to analiza jakościowa wykazała jej wyraźną podatność na zakłócenia wywołane zawiesiną mineralną i roślinnością podwodną. Sieć neuronowa dzięki integracji cech spektralnych i kontekstu przestrzennego zachowała pełną jednorodność akwenów, osiągając globalne IoU na poziomie 0.9855. Co szczególnie istotne, dzięki połączeniom omijającym model odtworzył przebieg linii brzegowej z gładkością odpowiadającą pasmom 10-metrowym, przewyższając ostrość samej 20-metrowej maski referencyjnej. </w:t>
      </w:r>
    </w:p>
    <w:p w:rsidR="00000000" w:rsidDel="00000000" w:rsidP="00000000" w:rsidRDefault="00000000" w:rsidRPr="00000000" w14:paraId="0000005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Głównym ograniczeniem obecnego prototypu jest oparcie zbioru danych na pojedynczej scenie z okresu letniego oraz niewielka liczba wyciętych kafelków wymuszona treningiem na procesorze CPU. W ramach dalszych prac naturalnym krokiem rozwoju projektu byłoby rozszerzenie potoku o zobrazowania z różnych pór roku oraz odmiennych obszarów geograficznych, w tym rzek górskich i obszarów zurbanizowanych z głębokimi cieniami budynków. Istotnym usprawnieniem potoku danych byłoby także wdrożenie zaawansowanych augmentacji przestrzennych i radiometrycznych z wykorzystaniem biblioteki Albumentations, a także przetestowanie nowszych architektur segmentacyjnych opartych na mechanizmach uwagi, takich jak </w:t>
      </w:r>
      <w:r w:rsidDel="00000000" w:rsidR="00000000" w:rsidRPr="00000000">
        <w:rPr>
          <w:rFonts w:ascii="Times New Roman" w:cs="Times New Roman" w:eastAsia="Times New Roman" w:hAnsi="Times New Roman"/>
          <w:sz w:val="24"/>
          <w:szCs w:val="24"/>
          <w:rtl w:val="0"/>
        </w:rPr>
        <w:t xml:space="preserve">SegFormer</w:t>
      </w:r>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