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D88B2" w14:textId="77777777" w:rsidR="00AF077C" w:rsidRDefault="00000000">
      <w:pPr>
        <w:pStyle w:val="Heading1"/>
        <w:jc w:val="both"/>
        <w:rPr>
          <w:rFonts w:ascii="Times New Roman" w:eastAsia="Times New Roman" w:hAnsi="Times New Roman" w:cs="Times New Roman"/>
        </w:rPr>
      </w:pPr>
      <w:bookmarkStart w:id="0" w:name="_uasj515kngdn" w:colFirst="0" w:colLast="0"/>
      <w:bookmarkEnd w:id="0"/>
      <w:r>
        <w:rPr>
          <w:rFonts w:ascii="Times New Roman" w:eastAsia="Times New Roman" w:hAnsi="Times New Roman" w:cs="Times New Roman"/>
        </w:rPr>
        <w:t>Segmentacja zbiorników wodnych na podstawie wielospektralnych danych satelitarnych Sentinel-2 z wykorzystaniem sieci konwolucyjnej U-Net oraz metody Otsu</w:t>
      </w:r>
    </w:p>
    <w:p w14:paraId="26B219BD" w14:textId="77777777" w:rsidR="00AF077C" w:rsidRDefault="00AF077C"/>
    <w:p w14:paraId="199231EB" w14:textId="77777777" w:rsidR="00AF077C" w:rsidRDefault="00000000">
      <w:pPr>
        <w:pStyle w:val="Heading2"/>
        <w:numPr>
          <w:ilvl w:val="0"/>
          <w:numId w:val="1"/>
        </w:numPr>
        <w:rPr>
          <w:rFonts w:ascii="Times New Roman" w:eastAsia="Times New Roman" w:hAnsi="Times New Roman" w:cs="Times New Roman"/>
        </w:rPr>
      </w:pPr>
      <w:bookmarkStart w:id="1" w:name="_qe65cn3ccgh7" w:colFirst="0" w:colLast="0"/>
      <w:bookmarkEnd w:id="1"/>
      <w:r>
        <w:rPr>
          <w:rFonts w:ascii="Times New Roman" w:eastAsia="Times New Roman" w:hAnsi="Times New Roman" w:cs="Times New Roman"/>
        </w:rPr>
        <w:t>WSTĘP TEORETYCZNY I CEL PROJEKTU</w:t>
      </w:r>
    </w:p>
    <w:p w14:paraId="1891B813"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Celem projektu była budowa i weryfikacja potoku uczenia maszynowego do automatycznej, binarnej segmentacji wód powierzchniowych na wielospektralnych zobrazowaniach satelitarnych misji Sentinel-2. W tym celu zastosowano uczenie maszynowe za pomocą konwolucyjnej sieci neuronowej. Rozwiązanie to zestawiono następnie z podejściem opartym na progowaniu adaptacyjnym Otsu, aby zweryfikować zysk wydajnościowy wynikający z użycia głębokich sieci neuronowych w zadaniach teledetekcyjnych. Projekt obejmował pobranie danych satelitarnych, ich wstępną obróbkę i przygotowanie zestawu treningowego, oraz optymalizację wag i ewaluację metryk.</w:t>
      </w:r>
    </w:p>
    <w:p w14:paraId="294F711E"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Fizyczną podstawą teledetekcyjnej detekcji wody jest jej unikalna krzywa odbicia spektralnego. Czysta woda wykazuje zauważalną reflektancję w zakresie widzialnym, ze szczytem w paśmie zielonym, po czym gwałtownie absorbuje promieniowanie w pasmach bliskiej i krótkofalowej podczerwieni. Zjawisko to ostro kontrastuje z charakterystyką roślin oraz gleby, które w podczerwieni cechują się silnym odbiciem. Choć właściwość ta umożliwia konstrukcję prostych indeksów spektralnych, klasyczne podejścia progowe zawodzą w strefach przybrzeżnych, na obszarach płytkich o wysokim zmętnieniu mineralnym, w obecności podwodnej roślinności oraz w rejonach zacienionych przez chmury lub struktury terenowe. Architektura głębokiej sieci U-Net rozwiązuje ten problem, łącząc informację o wielospektralnej sygnaturze radiometrycznej piksela ze strukturalnym kontekstem przestrzennym jego otoczenia. </w:t>
      </w:r>
    </w:p>
    <w:p w14:paraId="67B358EC" w14:textId="77777777" w:rsidR="00AF077C" w:rsidRDefault="00000000">
      <w:pPr>
        <w:pStyle w:val="Heading2"/>
        <w:numPr>
          <w:ilvl w:val="0"/>
          <w:numId w:val="1"/>
        </w:numPr>
        <w:rPr>
          <w:rFonts w:ascii="Times New Roman" w:eastAsia="Times New Roman" w:hAnsi="Times New Roman" w:cs="Times New Roman"/>
        </w:rPr>
      </w:pPr>
      <w:bookmarkStart w:id="2" w:name="_g7la9g8yn7rc" w:colFirst="0" w:colLast="0"/>
      <w:bookmarkEnd w:id="2"/>
      <w:r>
        <w:rPr>
          <w:rFonts w:ascii="Times New Roman" w:eastAsia="Times New Roman" w:hAnsi="Times New Roman" w:cs="Times New Roman"/>
        </w:rPr>
        <w:t>METODYKA BADAWCZA I PRZETWARZANIE DANYCH</w:t>
      </w:r>
    </w:p>
    <w:p w14:paraId="66674B72"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Dane wykorzystane w projekcie pochodzą z misji satelitarnej Sentinel-2, udostępniającej zobrazowania powierzchni ziemi zdefiniowane jako poziom L2A dla okna czasowego od 1 czerwca do 1 września 2023 roku, nakładając warunek zachmurzenia poniżej </w:t>
      </w:r>
      <w:r>
        <w:rPr>
          <w:rFonts w:ascii="Times New Roman" w:eastAsia="Times New Roman" w:hAnsi="Times New Roman" w:cs="Times New Roman"/>
          <w:sz w:val="24"/>
          <w:szCs w:val="24"/>
        </w:rPr>
        <w:lastRenderedPageBreak/>
        <w:t xml:space="preserve">5% w obrębie wschodniej części Zalewu Szczecińskiego. Proces pozyskiwania zautomatyzowano przy wykorzystaniu funkcjonalności API platformy Planetary Computer. Wykorzystana do analizy scena satelitarna nosi identyfikator S2B_MSIL2A_20230610T101609_R065_T33UVV_20240909T065358. Z całego zobrazowania wyodrębniono wycinek przestrzenny o wymiarach 2239 px na 1994 px, zachowując wyjściową rozdzielczość wynoszącą dziesięć metrów. </w:t>
      </w:r>
    </w:p>
    <w:p w14:paraId="23C63BF8" w14:textId="77777777" w:rsidR="00AF077C" w:rsidRDefault="00AF077C">
      <w:pPr>
        <w:spacing w:line="360" w:lineRule="auto"/>
        <w:ind w:firstLine="720"/>
        <w:jc w:val="both"/>
        <w:rPr>
          <w:rFonts w:ascii="Times New Roman" w:eastAsia="Times New Roman" w:hAnsi="Times New Roman" w:cs="Times New Roman"/>
          <w:sz w:val="24"/>
          <w:szCs w:val="24"/>
        </w:rPr>
      </w:pPr>
    </w:p>
    <w:p w14:paraId="06F74D9F"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 nowszych produktach Sentinel-2 L2A wprowadzono stały offset radiometryczny +1000 DN w celu uniknięcia ujemnych wartości odbicia po korekcji atmosferycznej Sen2Cor. Przeliczenie wartości cyfrowych na bezwymiarową wielkość współczynnika odbicia BOA (</w:t>
      </w:r>
      <m:oMath>
        <m:r>
          <w:rPr>
            <w:rFonts w:ascii="Cambria Math" w:hAnsi="Cambria Math"/>
          </w:rPr>
          <m:t>ρ</m:t>
        </m:r>
      </m:oMath>
      <w:r>
        <w:rPr>
          <w:rFonts w:ascii="Times New Roman" w:eastAsia="Times New Roman" w:hAnsi="Times New Roman" w:cs="Times New Roman"/>
          <w:sz w:val="24"/>
          <w:szCs w:val="24"/>
        </w:rPr>
        <w:t xml:space="preserve">) opisuje zależność: </w:t>
      </w:r>
    </w:p>
    <w:p w14:paraId="58698CE6" w14:textId="77777777" w:rsidR="00AF077C" w:rsidRDefault="00000000">
      <w:pPr>
        <w:spacing w:line="360" w:lineRule="auto"/>
        <w:jc w:val="center"/>
        <w:rPr>
          <w:rFonts w:ascii="Times New Roman" w:eastAsia="Times New Roman" w:hAnsi="Times New Roman" w:cs="Times New Roman"/>
          <w:sz w:val="24"/>
          <w:szCs w:val="24"/>
        </w:rPr>
      </w:pPr>
      <m:oMath>
        <m:r>
          <w:rPr>
            <w:rFonts w:ascii="Cambria Math" w:hAnsi="Cambria Math"/>
          </w:rPr>
          <m:t>ρ</m:t>
        </m:r>
      </m:oMath>
      <w:r>
        <w:rPr>
          <w:rFonts w:ascii="Times New Roman" w:eastAsia="Times New Roman" w:hAnsi="Times New Roman" w:cs="Times New Roman"/>
          <w:sz w:val="24"/>
          <w:szCs w:val="24"/>
        </w:rPr>
        <w:t xml:space="preserve"> = clip (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DN - 1000</m:t>
            </m:r>
          </m:num>
          <m:den>
            <m:r>
              <w:rPr>
                <w:rFonts w:ascii="Times New Roman" w:eastAsia="Times New Roman" w:hAnsi="Times New Roman" w:cs="Times New Roman"/>
                <w:sz w:val="24"/>
                <w:szCs w:val="24"/>
              </w:rPr>
              <m:t>10000</m:t>
            </m:r>
          </m:den>
        </m:f>
      </m:oMath>
      <w:r>
        <w:rPr>
          <w:rFonts w:ascii="Times New Roman" w:eastAsia="Times New Roman" w:hAnsi="Times New Roman" w:cs="Times New Roman"/>
          <w:sz w:val="24"/>
          <w:szCs w:val="24"/>
        </w:rPr>
        <w:t>, 0.0, 1.0 )</w:t>
      </w:r>
    </w:p>
    <w:p w14:paraId="644F3FF9" w14:textId="77777777" w:rsidR="00AF077C" w:rsidRDefault="00AF077C">
      <w:pPr>
        <w:spacing w:line="360" w:lineRule="auto"/>
        <w:jc w:val="both"/>
        <w:rPr>
          <w:rFonts w:ascii="Times New Roman" w:eastAsia="Times New Roman" w:hAnsi="Times New Roman" w:cs="Times New Roman"/>
          <w:sz w:val="24"/>
          <w:szCs w:val="24"/>
        </w:rPr>
      </w:pPr>
    </w:p>
    <w:p w14:paraId="4F562D4A"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 budowy wejściowego tensora cech wybrano pięć pasm spektralnych oznaczonych jako B02, B03, B04, B08 oraz B11. Ze względu na zróżnicowaną rozdzielczość przestrzenną matryc w satelicie, pasmo B11 poddano resamplingowi z wykorzystaniem interpolacji dwuliniowej. Woda charakteryzuje się selektywną absorpcją promieniowania elektromagnetycznego. W paśmie widzialnym, zwłaszcza zielonym </w:t>
      </w:r>
      <m:oMath>
        <m:r>
          <w:rPr>
            <w:rFonts w:ascii="Times New Roman" w:eastAsia="Times New Roman" w:hAnsi="Times New Roman" w:cs="Times New Roman"/>
            <w:sz w:val="24"/>
            <w:szCs w:val="24"/>
          </w:rPr>
          <m:t>(B03</m:t>
        </m:r>
      </m:oMath>
      <w:r>
        <w:rPr>
          <w:rFonts w:ascii="Times New Roman" w:eastAsia="Times New Roman" w:hAnsi="Times New Roman" w:cs="Times New Roman"/>
          <w:sz w:val="24"/>
          <w:szCs w:val="24"/>
        </w:rPr>
        <w:t>, ok. 560 nm), woda wykazuje umiarkowane odbicie, natomiast w bliskiej podczerwieni (</w:t>
      </w:r>
      <m:oMath>
        <m:r>
          <w:rPr>
            <w:rFonts w:ascii="Times New Roman" w:eastAsia="Times New Roman" w:hAnsi="Times New Roman" w:cs="Times New Roman"/>
            <w:sz w:val="24"/>
            <w:szCs w:val="24"/>
          </w:rPr>
          <m:t>B08</m:t>
        </m:r>
      </m:oMath>
      <w:r>
        <w:rPr>
          <w:rFonts w:ascii="Times New Roman" w:eastAsia="Times New Roman" w:hAnsi="Times New Roman" w:cs="Times New Roman"/>
          <w:sz w:val="24"/>
          <w:szCs w:val="24"/>
        </w:rPr>
        <w:t>, ok. 842 nm) oraz krótkofalowej podczerwieni (</w:t>
      </w:r>
      <m:oMath>
        <m:r>
          <w:rPr>
            <w:rFonts w:ascii="Times New Roman" w:eastAsia="Times New Roman" w:hAnsi="Times New Roman" w:cs="Times New Roman"/>
            <w:sz w:val="24"/>
            <w:szCs w:val="24"/>
          </w:rPr>
          <m:t>B11</m:t>
        </m:r>
      </m:oMath>
      <w:r>
        <w:rPr>
          <w:rFonts w:ascii="Times New Roman" w:eastAsia="Times New Roman" w:hAnsi="Times New Roman" w:cs="Times New Roman"/>
          <w:sz w:val="24"/>
          <w:szCs w:val="24"/>
        </w:rPr>
        <w:t xml:space="preserve">, ok. 1610 nm) absorpcja jest niemal całkowita. Zjawisko to odróżnia ją od roślinności i gleby, które w podczerwieni odbijają silnie. </w:t>
      </w:r>
    </w:p>
    <w:p w14:paraId="3814570F"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Znormalizowany różnicowy wskaźnik wody McFeetersa definiuje zależność opartą na kontraście pasma zielonego i bliskiej podczerwieni według wzoru: </w:t>
      </w:r>
    </w:p>
    <w:p w14:paraId="7F5CB8DB" w14:textId="77777777" w:rsidR="00AF077C" w:rsidRDefault="00AF077C">
      <w:pPr>
        <w:spacing w:line="360" w:lineRule="auto"/>
        <w:jc w:val="both"/>
        <w:rPr>
          <w:rFonts w:ascii="Times New Roman" w:eastAsia="Times New Roman" w:hAnsi="Times New Roman" w:cs="Times New Roman"/>
          <w:sz w:val="24"/>
          <w:szCs w:val="24"/>
        </w:rPr>
      </w:pPr>
    </w:p>
    <w:p w14:paraId="232CA4AB" w14:textId="77777777" w:rsidR="00AF077C"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NDWI = </w:t>
      </w:r>
      <m:oMath>
        <m:f>
          <m:fPr>
            <m:ctrlPr>
              <w:rPr>
                <w:rFonts w:ascii="Times New Roman" w:eastAsia="Times New Roman" w:hAnsi="Times New Roman" w:cs="Times New Roman"/>
                <w:sz w:val="24"/>
                <w:szCs w:val="24"/>
              </w:rPr>
            </m:ctrlPr>
          </m:fPr>
          <m:num>
            <m:sSub>
              <m:sSubPr>
                <m:ctrlPr>
                  <w:rPr>
                    <w:rFonts w:ascii="Times New Roman" w:eastAsia="Times New Roman" w:hAnsi="Times New Roman" w:cs="Times New Roman"/>
                    <w:sz w:val="24"/>
                    <w:szCs w:val="24"/>
                  </w:rPr>
                </m:ctrlPr>
              </m:sSubPr>
              <m:e>
                <m:r>
                  <w:rPr>
                    <w:rFonts w:ascii="Cambria Math" w:hAnsi="Cambria Math"/>
                  </w:rPr>
                  <m:t>ρ</m:t>
                </m:r>
              </m:e>
              <m:sub>
                <m:r>
                  <w:rPr>
                    <w:rFonts w:ascii="Times New Roman" w:eastAsia="Times New Roman" w:hAnsi="Times New Roman" w:cs="Times New Roman"/>
                    <w:sz w:val="24"/>
                    <w:szCs w:val="24"/>
                  </w:rPr>
                  <m:t>Green</m:t>
                </m:r>
              </m:sub>
            </m:sSub>
            <m:r>
              <w:rPr>
                <w:rFonts w:ascii="Times New Roman" w:eastAsia="Times New Roman" w:hAnsi="Times New Roman" w:cs="Times New Roman"/>
                <w:sz w:val="24"/>
                <w:szCs w:val="24"/>
              </w:rPr>
              <m:t xml:space="preserve">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NIR</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Green</m:t>
                </m:r>
              </m:sub>
            </m:sSub>
            <m:r>
              <w:rPr>
                <w:rFonts w:ascii="Times New Roman" w:eastAsia="Times New Roman" w:hAnsi="Times New Roman" w:cs="Times New Roman"/>
                <w:sz w:val="24"/>
                <w:szCs w:val="24"/>
              </w:rPr>
              <m:t xml:space="preserve">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NIR</m:t>
                </m:r>
              </m:sub>
            </m:sSub>
            <m:r>
              <w:rPr>
                <w:rFonts w:ascii="Times New Roman" w:eastAsia="Times New Roman" w:hAnsi="Times New Roman" w:cs="Times New Roman"/>
                <w:sz w:val="24"/>
                <w:szCs w:val="24"/>
              </w:rPr>
              <m:t xml:space="preserve"> + ϵ</m:t>
            </m:r>
          </m:den>
        </m:f>
      </m:oMath>
      <w:r>
        <w:rPr>
          <w:rFonts w:ascii="Times New Roman" w:eastAsia="Times New Roman" w:hAnsi="Times New Roman" w:cs="Times New Roman"/>
          <w:sz w:val="24"/>
          <w:szCs w:val="24"/>
        </w:rPr>
        <w:t xml:space="preserve"> =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B03 - B08</m:t>
            </m:r>
          </m:num>
          <m:den>
            <m:r>
              <w:rPr>
                <w:rFonts w:ascii="Times New Roman" w:eastAsia="Times New Roman" w:hAnsi="Times New Roman" w:cs="Times New Roman"/>
                <w:sz w:val="24"/>
                <w:szCs w:val="24"/>
              </w:rPr>
              <m:t xml:space="preserve">B03 + B08 + </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10</m:t>
                </m:r>
              </m:e>
              <m:sup>
                <m:r>
                  <w:rPr>
                    <w:rFonts w:ascii="Times New Roman" w:eastAsia="Times New Roman" w:hAnsi="Times New Roman" w:cs="Times New Roman"/>
                    <w:sz w:val="24"/>
                    <w:szCs w:val="24"/>
                  </w:rPr>
                  <m:t>-7</m:t>
                </m:r>
              </m:sup>
            </m:sSup>
          </m:den>
        </m:f>
      </m:oMath>
    </w:p>
    <w:p w14:paraId="02B5F863" w14:textId="77777777" w:rsidR="00AF077C" w:rsidRDefault="00AF077C">
      <w:pPr>
        <w:spacing w:line="360" w:lineRule="auto"/>
        <w:jc w:val="both"/>
        <w:rPr>
          <w:rFonts w:ascii="Times New Roman" w:eastAsia="Times New Roman" w:hAnsi="Times New Roman" w:cs="Times New Roman"/>
          <w:sz w:val="24"/>
          <w:szCs w:val="24"/>
        </w:rPr>
      </w:pPr>
    </w:p>
    <w:p w14:paraId="1A068D4A"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Zmodyfikowany wskaźnik Xu zastępuje pasmo bliskiej podczerwieni pasmem SWIR, co eliminuje fałszywe detekcje na obszarach zabudowanych i glebach o podwyższonej wilgotności: </w:t>
      </w:r>
    </w:p>
    <w:p w14:paraId="08670084" w14:textId="77777777" w:rsidR="00AF077C"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MNDWI = </w:t>
      </w:r>
      <m:oMath>
        <m:f>
          <m:fPr>
            <m:ctrlPr>
              <w:rPr>
                <w:rFonts w:ascii="Times New Roman" w:eastAsia="Times New Roman" w:hAnsi="Times New Roman" w:cs="Times New Roman"/>
                <w:sz w:val="24"/>
                <w:szCs w:val="24"/>
              </w:rPr>
            </m:ctrlPr>
          </m:fPr>
          <m:num>
            <m:sSub>
              <m:sSubPr>
                <m:ctrlPr>
                  <w:rPr>
                    <w:rFonts w:ascii="Times New Roman" w:eastAsia="Times New Roman" w:hAnsi="Times New Roman" w:cs="Times New Roman"/>
                    <w:sz w:val="24"/>
                    <w:szCs w:val="24"/>
                  </w:rPr>
                </m:ctrlPr>
              </m:sSubPr>
              <m:e>
                <m:r>
                  <w:rPr>
                    <w:rFonts w:ascii="Cambria Math" w:hAnsi="Cambria Math"/>
                  </w:rPr>
                  <m:t>ρ</m:t>
                </m:r>
              </m:e>
              <m:sub>
                <m:r>
                  <w:rPr>
                    <w:rFonts w:ascii="Times New Roman" w:eastAsia="Times New Roman" w:hAnsi="Times New Roman" w:cs="Times New Roman"/>
                    <w:sz w:val="24"/>
                    <w:szCs w:val="24"/>
                  </w:rPr>
                  <m:t>Green</m:t>
                </m:r>
              </m:sub>
            </m:sSub>
            <m:r>
              <w:rPr>
                <w:rFonts w:ascii="Times New Roman" w:eastAsia="Times New Roman" w:hAnsi="Times New Roman" w:cs="Times New Roman"/>
                <w:sz w:val="24"/>
                <w:szCs w:val="24"/>
              </w:rPr>
              <m:t xml:space="preserve">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SWIR</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Green</m:t>
                </m:r>
              </m:sub>
            </m:sSub>
            <m:r>
              <w:rPr>
                <w:rFonts w:ascii="Times New Roman" w:eastAsia="Times New Roman" w:hAnsi="Times New Roman" w:cs="Times New Roman"/>
                <w:sz w:val="24"/>
                <w:szCs w:val="24"/>
              </w:rPr>
              <m:t xml:space="preserve">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ρ</m:t>
                </m:r>
              </m:e>
              <m:sub>
                <m:r>
                  <w:rPr>
                    <w:rFonts w:ascii="Times New Roman" w:eastAsia="Times New Roman" w:hAnsi="Times New Roman" w:cs="Times New Roman"/>
                    <w:sz w:val="24"/>
                    <w:szCs w:val="24"/>
                  </w:rPr>
                  <m:t>SWIR</m:t>
                </m:r>
              </m:sub>
            </m:sSub>
            <m:r>
              <w:rPr>
                <w:rFonts w:ascii="Times New Roman" w:eastAsia="Times New Roman" w:hAnsi="Times New Roman" w:cs="Times New Roman"/>
                <w:sz w:val="24"/>
                <w:szCs w:val="24"/>
              </w:rPr>
              <m:t xml:space="preserve"> + ϵ</m:t>
            </m:r>
          </m:den>
        </m:f>
      </m:oMath>
      <w:r>
        <w:rPr>
          <w:rFonts w:ascii="Times New Roman" w:eastAsia="Times New Roman" w:hAnsi="Times New Roman" w:cs="Times New Roman"/>
          <w:sz w:val="24"/>
          <w:szCs w:val="24"/>
        </w:rPr>
        <w:t xml:space="preserve"> =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B03 - B11</m:t>
            </m:r>
          </m:num>
          <m:den>
            <m:r>
              <w:rPr>
                <w:rFonts w:ascii="Times New Roman" w:eastAsia="Times New Roman" w:hAnsi="Times New Roman" w:cs="Times New Roman"/>
                <w:sz w:val="24"/>
                <w:szCs w:val="24"/>
              </w:rPr>
              <m:t xml:space="preserve">B03 + B11 + </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10</m:t>
                </m:r>
              </m:e>
              <m:sup>
                <m:r>
                  <w:rPr>
                    <w:rFonts w:ascii="Times New Roman" w:eastAsia="Times New Roman" w:hAnsi="Times New Roman" w:cs="Times New Roman"/>
                    <w:sz w:val="24"/>
                    <w:szCs w:val="24"/>
                  </w:rPr>
                  <m:t>-7</m:t>
                </m:r>
              </m:sup>
            </m:sSup>
          </m:den>
        </m:f>
      </m:oMath>
    </w:p>
    <w:p w14:paraId="728B8E02"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gdzie stała </w:t>
      </w:r>
      <m:oMath>
        <m:r>
          <w:rPr>
            <w:rFonts w:ascii="Cambria Math" w:hAnsi="Cambria Math"/>
          </w:rPr>
          <m:t>ϵ</m:t>
        </m:r>
        <m:r>
          <w:rPr>
            <w:rFonts w:ascii="Times New Roman" w:eastAsia="Times New Roman" w:hAnsi="Times New Roman" w:cs="Times New Roman"/>
            <w:sz w:val="24"/>
            <w:szCs w:val="24"/>
          </w:rPr>
          <m:t>=</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10</m:t>
            </m:r>
          </m:e>
          <m:sup>
            <m:r>
              <w:rPr>
                <w:rFonts w:ascii="Times New Roman" w:eastAsia="Times New Roman" w:hAnsi="Times New Roman" w:cs="Times New Roman"/>
                <w:sz w:val="24"/>
                <w:szCs w:val="24"/>
              </w:rPr>
              <m:t>-7</m:t>
            </m:r>
          </m:sup>
        </m:sSup>
        <m:r>
          <w:rPr>
            <w:rFonts w:ascii="Times New Roman" w:eastAsia="Times New Roman" w:hAnsi="Times New Roman" w:cs="Times New Roman"/>
            <w:sz w:val="24"/>
            <w:szCs w:val="24"/>
          </w:rPr>
          <m:t xml:space="preserve"> </m:t>
        </m:r>
      </m:oMath>
      <w:r>
        <w:rPr>
          <w:rFonts w:ascii="Times New Roman" w:eastAsia="Times New Roman" w:hAnsi="Times New Roman" w:cs="Times New Roman"/>
          <w:sz w:val="24"/>
          <w:szCs w:val="24"/>
        </w:rPr>
        <w:t xml:space="preserve">chroni operacje przed dzieleniem przez zero w cieniach i obszarach o zerowej reflektancji. Zestawienie pasm i wskaźników dało 7-kanałowy tensor wejściowy o wymiarach (7, H, W), który został przedstawiony w Tabeli 1. </w:t>
      </w:r>
    </w:p>
    <w:p w14:paraId="6ED3DC8F" w14:textId="77777777" w:rsidR="00AF077C" w:rsidRDefault="00AF077C">
      <w:pPr>
        <w:spacing w:line="360" w:lineRule="auto"/>
        <w:jc w:val="both"/>
        <w:rPr>
          <w:rFonts w:ascii="Times New Roman" w:eastAsia="Times New Roman" w:hAnsi="Times New Roman" w:cs="Times New Roman"/>
          <w:sz w:val="24"/>
          <w:szCs w:val="24"/>
        </w:rPr>
      </w:pPr>
    </w:p>
    <w:p w14:paraId="50C14146"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0"/>
          <w:szCs w:val="20"/>
        </w:rPr>
        <w:t>Tabela 1. Struktura tensora wejściowego</w:t>
      </w:r>
    </w:p>
    <w:tbl>
      <w:tblPr>
        <w:tblStyle w:val="a"/>
        <w:tblW w:w="89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2115"/>
        <w:gridCol w:w="2175"/>
        <w:gridCol w:w="3135"/>
      </w:tblGrid>
      <w:tr w:rsidR="00AF077C" w14:paraId="6E180169" w14:textId="77777777">
        <w:tc>
          <w:tcPr>
            <w:tcW w:w="1500" w:type="dxa"/>
            <w:tcMar>
              <w:top w:w="100" w:type="dxa"/>
              <w:left w:w="100" w:type="dxa"/>
              <w:bottom w:w="100" w:type="dxa"/>
              <w:right w:w="100" w:type="dxa"/>
            </w:tcMar>
          </w:tcPr>
          <w:p w14:paraId="20F206DA"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Indeks kanału</w:t>
            </w:r>
          </w:p>
        </w:tc>
        <w:tc>
          <w:tcPr>
            <w:tcW w:w="2115" w:type="dxa"/>
            <w:tcMar>
              <w:top w:w="100" w:type="dxa"/>
              <w:left w:w="100" w:type="dxa"/>
              <w:bottom w:w="100" w:type="dxa"/>
              <w:right w:w="100" w:type="dxa"/>
            </w:tcMar>
          </w:tcPr>
          <w:p w14:paraId="7FFDACA9"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Oznaczenie pasma</w:t>
            </w:r>
          </w:p>
        </w:tc>
        <w:tc>
          <w:tcPr>
            <w:tcW w:w="2175" w:type="dxa"/>
            <w:tcMar>
              <w:top w:w="100" w:type="dxa"/>
              <w:left w:w="100" w:type="dxa"/>
              <w:bottom w:w="100" w:type="dxa"/>
              <w:right w:w="100" w:type="dxa"/>
            </w:tcMar>
          </w:tcPr>
          <w:p w14:paraId="41D5DCEF"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Długość fali </w:t>
            </w:r>
            <m:oMath>
              <m:r>
                <w:rPr>
                  <w:rFonts w:ascii="Cambria Math" w:hAnsi="Cambria Math"/>
                </w:rPr>
                <m:t>λ</m:t>
              </m:r>
            </m:oMath>
            <w:r>
              <w:rPr>
                <w:rFonts w:ascii="Times New Roman" w:eastAsia="Times New Roman" w:hAnsi="Times New Roman" w:cs="Times New Roman"/>
                <w:sz w:val="24"/>
                <w:szCs w:val="24"/>
              </w:rPr>
              <w:t xml:space="preserve"> </w:t>
            </w:r>
          </w:p>
        </w:tc>
        <w:tc>
          <w:tcPr>
            <w:tcW w:w="3135" w:type="dxa"/>
            <w:tcMar>
              <w:top w:w="100" w:type="dxa"/>
              <w:left w:w="100" w:type="dxa"/>
              <w:bottom w:w="100" w:type="dxa"/>
              <w:right w:w="100" w:type="dxa"/>
            </w:tcMar>
          </w:tcPr>
          <w:p w14:paraId="44899B4F"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Rozdzielczość pierwotna</w:t>
            </w:r>
          </w:p>
        </w:tc>
      </w:tr>
      <w:tr w:rsidR="00AF077C" w14:paraId="3851B8A1" w14:textId="77777777">
        <w:tc>
          <w:tcPr>
            <w:tcW w:w="1500" w:type="dxa"/>
            <w:tcMar>
              <w:top w:w="100" w:type="dxa"/>
              <w:left w:w="100" w:type="dxa"/>
              <w:bottom w:w="100" w:type="dxa"/>
              <w:right w:w="100" w:type="dxa"/>
            </w:tcMar>
          </w:tcPr>
          <w:p w14:paraId="29FAFF93"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0</w:t>
            </w:r>
          </w:p>
        </w:tc>
        <w:tc>
          <w:tcPr>
            <w:tcW w:w="2115" w:type="dxa"/>
            <w:tcMar>
              <w:top w:w="100" w:type="dxa"/>
              <w:left w:w="100" w:type="dxa"/>
              <w:bottom w:w="100" w:type="dxa"/>
              <w:right w:w="100" w:type="dxa"/>
            </w:tcMar>
          </w:tcPr>
          <w:p w14:paraId="1D2B6992"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B02 - Blue</w:t>
            </w:r>
          </w:p>
        </w:tc>
        <w:tc>
          <w:tcPr>
            <w:tcW w:w="2175" w:type="dxa"/>
            <w:tcMar>
              <w:top w:w="100" w:type="dxa"/>
              <w:left w:w="100" w:type="dxa"/>
              <w:bottom w:w="100" w:type="dxa"/>
              <w:right w:w="100" w:type="dxa"/>
            </w:tcMar>
          </w:tcPr>
          <w:p w14:paraId="257DBE3D"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490 nm</w:t>
            </w:r>
          </w:p>
        </w:tc>
        <w:tc>
          <w:tcPr>
            <w:tcW w:w="3135" w:type="dxa"/>
            <w:tcMar>
              <w:top w:w="100" w:type="dxa"/>
              <w:left w:w="100" w:type="dxa"/>
              <w:bottom w:w="100" w:type="dxa"/>
              <w:right w:w="100" w:type="dxa"/>
            </w:tcMar>
          </w:tcPr>
          <w:p w14:paraId="63F7E67A"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w:t>
            </w:r>
          </w:p>
        </w:tc>
      </w:tr>
      <w:tr w:rsidR="00AF077C" w14:paraId="185BAF64" w14:textId="77777777">
        <w:tc>
          <w:tcPr>
            <w:tcW w:w="1500" w:type="dxa"/>
            <w:tcMar>
              <w:top w:w="100" w:type="dxa"/>
              <w:left w:w="100" w:type="dxa"/>
              <w:bottom w:w="100" w:type="dxa"/>
              <w:right w:w="100" w:type="dxa"/>
            </w:tcMar>
          </w:tcPr>
          <w:p w14:paraId="3224B7F4"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1</w:t>
            </w:r>
          </w:p>
        </w:tc>
        <w:tc>
          <w:tcPr>
            <w:tcW w:w="2115" w:type="dxa"/>
            <w:tcMar>
              <w:top w:w="100" w:type="dxa"/>
              <w:left w:w="100" w:type="dxa"/>
              <w:bottom w:w="100" w:type="dxa"/>
              <w:right w:w="100" w:type="dxa"/>
            </w:tcMar>
          </w:tcPr>
          <w:p w14:paraId="45B1DFB6"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B03 - Green</w:t>
            </w:r>
          </w:p>
        </w:tc>
        <w:tc>
          <w:tcPr>
            <w:tcW w:w="2175" w:type="dxa"/>
            <w:tcMar>
              <w:top w:w="100" w:type="dxa"/>
              <w:left w:w="100" w:type="dxa"/>
              <w:bottom w:w="100" w:type="dxa"/>
              <w:right w:w="100" w:type="dxa"/>
            </w:tcMar>
          </w:tcPr>
          <w:p w14:paraId="53E01B50"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560 nm</w:t>
            </w:r>
          </w:p>
        </w:tc>
        <w:tc>
          <w:tcPr>
            <w:tcW w:w="3135" w:type="dxa"/>
            <w:tcMar>
              <w:top w:w="100" w:type="dxa"/>
              <w:left w:w="100" w:type="dxa"/>
              <w:bottom w:w="100" w:type="dxa"/>
              <w:right w:w="100" w:type="dxa"/>
            </w:tcMar>
          </w:tcPr>
          <w:p w14:paraId="5784AFDE"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w:t>
            </w:r>
          </w:p>
        </w:tc>
      </w:tr>
      <w:tr w:rsidR="00AF077C" w14:paraId="355DC059" w14:textId="77777777">
        <w:tc>
          <w:tcPr>
            <w:tcW w:w="1500" w:type="dxa"/>
            <w:tcMar>
              <w:top w:w="100" w:type="dxa"/>
              <w:left w:w="100" w:type="dxa"/>
              <w:bottom w:w="100" w:type="dxa"/>
              <w:right w:w="100" w:type="dxa"/>
            </w:tcMar>
          </w:tcPr>
          <w:p w14:paraId="10645DB5"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2</w:t>
            </w:r>
          </w:p>
        </w:tc>
        <w:tc>
          <w:tcPr>
            <w:tcW w:w="2115" w:type="dxa"/>
            <w:tcMar>
              <w:top w:w="100" w:type="dxa"/>
              <w:left w:w="100" w:type="dxa"/>
              <w:bottom w:w="100" w:type="dxa"/>
              <w:right w:w="100" w:type="dxa"/>
            </w:tcMar>
          </w:tcPr>
          <w:p w14:paraId="756B9C14"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B04 - Red</w:t>
            </w:r>
          </w:p>
        </w:tc>
        <w:tc>
          <w:tcPr>
            <w:tcW w:w="2175" w:type="dxa"/>
            <w:tcMar>
              <w:top w:w="100" w:type="dxa"/>
              <w:left w:w="100" w:type="dxa"/>
              <w:bottom w:w="100" w:type="dxa"/>
              <w:right w:w="100" w:type="dxa"/>
            </w:tcMar>
          </w:tcPr>
          <w:p w14:paraId="3C4F955D"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665 nm</w:t>
            </w:r>
          </w:p>
        </w:tc>
        <w:tc>
          <w:tcPr>
            <w:tcW w:w="3135" w:type="dxa"/>
            <w:tcMar>
              <w:top w:w="100" w:type="dxa"/>
              <w:left w:w="100" w:type="dxa"/>
              <w:bottom w:w="100" w:type="dxa"/>
              <w:right w:w="100" w:type="dxa"/>
            </w:tcMar>
          </w:tcPr>
          <w:p w14:paraId="5421F26A"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w:t>
            </w:r>
          </w:p>
        </w:tc>
      </w:tr>
      <w:tr w:rsidR="00AF077C" w14:paraId="575301EF" w14:textId="77777777">
        <w:tc>
          <w:tcPr>
            <w:tcW w:w="1500" w:type="dxa"/>
            <w:tcMar>
              <w:top w:w="100" w:type="dxa"/>
              <w:left w:w="100" w:type="dxa"/>
              <w:bottom w:w="100" w:type="dxa"/>
              <w:right w:w="100" w:type="dxa"/>
            </w:tcMar>
          </w:tcPr>
          <w:p w14:paraId="68A8E920"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3</w:t>
            </w:r>
          </w:p>
        </w:tc>
        <w:tc>
          <w:tcPr>
            <w:tcW w:w="2115" w:type="dxa"/>
            <w:tcMar>
              <w:top w:w="100" w:type="dxa"/>
              <w:left w:w="100" w:type="dxa"/>
              <w:bottom w:w="100" w:type="dxa"/>
              <w:right w:w="100" w:type="dxa"/>
            </w:tcMar>
          </w:tcPr>
          <w:p w14:paraId="330465D0"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B08 - NIR</w:t>
            </w:r>
          </w:p>
        </w:tc>
        <w:tc>
          <w:tcPr>
            <w:tcW w:w="2175" w:type="dxa"/>
            <w:tcMar>
              <w:top w:w="100" w:type="dxa"/>
              <w:left w:w="100" w:type="dxa"/>
              <w:bottom w:w="100" w:type="dxa"/>
              <w:right w:w="100" w:type="dxa"/>
            </w:tcMar>
          </w:tcPr>
          <w:p w14:paraId="4AC2B9B3"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842 nm</w:t>
            </w:r>
          </w:p>
        </w:tc>
        <w:tc>
          <w:tcPr>
            <w:tcW w:w="3135" w:type="dxa"/>
            <w:tcMar>
              <w:top w:w="100" w:type="dxa"/>
              <w:left w:w="100" w:type="dxa"/>
              <w:bottom w:w="100" w:type="dxa"/>
              <w:right w:w="100" w:type="dxa"/>
            </w:tcMar>
          </w:tcPr>
          <w:p w14:paraId="2B5AD967"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 m</w:t>
            </w:r>
          </w:p>
        </w:tc>
      </w:tr>
      <w:tr w:rsidR="00AF077C" w14:paraId="2B64A579" w14:textId="77777777">
        <w:tc>
          <w:tcPr>
            <w:tcW w:w="1500" w:type="dxa"/>
            <w:tcMar>
              <w:top w:w="100" w:type="dxa"/>
              <w:left w:w="100" w:type="dxa"/>
              <w:bottom w:w="100" w:type="dxa"/>
              <w:right w:w="100" w:type="dxa"/>
            </w:tcMar>
          </w:tcPr>
          <w:p w14:paraId="267E0C89"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4</w:t>
            </w:r>
          </w:p>
        </w:tc>
        <w:tc>
          <w:tcPr>
            <w:tcW w:w="2115" w:type="dxa"/>
            <w:tcMar>
              <w:top w:w="100" w:type="dxa"/>
              <w:left w:w="100" w:type="dxa"/>
              <w:bottom w:w="100" w:type="dxa"/>
              <w:right w:w="100" w:type="dxa"/>
            </w:tcMar>
          </w:tcPr>
          <w:p w14:paraId="4CB3AE06"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B11 - SWIR</w:t>
            </w:r>
          </w:p>
        </w:tc>
        <w:tc>
          <w:tcPr>
            <w:tcW w:w="2175" w:type="dxa"/>
            <w:tcMar>
              <w:top w:w="100" w:type="dxa"/>
              <w:left w:w="100" w:type="dxa"/>
              <w:bottom w:w="100" w:type="dxa"/>
              <w:right w:w="100" w:type="dxa"/>
            </w:tcMar>
          </w:tcPr>
          <w:p w14:paraId="2427F63F"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1610 nm</w:t>
            </w:r>
          </w:p>
        </w:tc>
        <w:tc>
          <w:tcPr>
            <w:tcW w:w="3135" w:type="dxa"/>
            <w:tcMar>
              <w:top w:w="100" w:type="dxa"/>
              <w:left w:w="100" w:type="dxa"/>
              <w:bottom w:w="100" w:type="dxa"/>
              <w:right w:w="100" w:type="dxa"/>
            </w:tcMar>
          </w:tcPr>
          <w:p w14:paraId="2C1E8F1A"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20 m</w:t>
            </w:r>
          </w:p>
        </w:tc>
      </w:tr>
      <w:tr w:rsidR="00AF077C" w14:paraId="56D1ED96" w14:textId="77777777">
        <w:tc>
          <w:tcPr>
            <w:tcW w:w="1500" w:type="dxa"/>
            <w:tcMar>
              <w:top w:w="100" w:type="dxa"/>
              <w:left w:w="100" w:type="dxa"/>
              <w:bottom w:w="100" w:type="dxa"/>
              <w:right w:w="100" w:type="dxa"/>
            </w:tcMar>
          </w:tcPr>
          <w:p w14:paraId="4F2CE24E"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5</w:t>
            </w:r>
          </w:p>
        </w:tc>
        <w:tc>
          <w:tcPr>
            <w:tcW w:w="2115" w:type="dxa"/>
            <w:tcMar>
              <w:top w:w="100" w:type="dxa"/>
              <w:left w:w="100" w:type="dxa"/>
              <w:bottom w:w="100" w:type="dxa"/>
              <w:right w:w="100" w:type="dxa"/>
            </w:tcMar>
          </w:tcPr>
          <w:p w14:paraId="07F2B1E4"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NDWI</w:t>
            </w:r>
          </w:p>
        </w:tc>
        <w:tc>
          <w:tcPr>
            <w:tcW w:w="2175" w:type="dxa"/>
            <w:tcMar>
              <w:top w:w="100" w:type="dxa"/>
              <w:left w:w="100" w:type="dxa"/>
              <w:bottom w:w="100" w:type="dxa"/>
              <w:right w:w="100" w:type="dxa"/>
            </w:tcMar>
          </w:tcPr>
          <w:p w14:paraId="049F2C5B"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135" w:type="dxa"/>
            <w:tcMar>
              <w:top w:w="100" w:type="dxa"/>
              <w:left w:w="100" w:type="dxa"/>
              <w:bottom w:w="100" w:type="dxa"/>
              <w:right w:w="100" w:type="dxa"/>
            </w:tcMar>
          </w:tcPr>
          <w:p w14:paraId="69755F32"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Wyliczany z 10 m</w:t>
            </w:r>
          </w:p>
        </w:tc>
      </w:tr>
      <w:tr w:rsidR="00AF077C" w14:paraId="193741BB" w14:textId="77777777">
        <w:tc>
          <w:tcPr>
            <w:tcW w:w="1500" w:type="dxa"/>
            <w:tcMar>
              <w:top w:w="100" w:type="dxa"/>
              <w:left w:w="100" w:type="dxa"/>
              <w:bottom w:w="100" w:type="dxa"/>
              <w:right w:w="100" w:type="dxa"/>
            </w:tcMar>
          </w:tcPr>
          <w:p w14:paraId="4E9466F6"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Kanał 6</w:t>
            </w:r>
          </w:p>
        </w:tc>
        <w:tc>
          <w:tcPr>
            <w:tcW w:w="2115" w:type="dxa"/>
            <w:tcMar>
              <w:top w:w="100" w:type="dxa"/>
              <w:left w:w="100" w:type="dxa"/>
              <w:bottom w:w="100" w:type="dxa"/>
              <w:right w:w="100" w:type="dxa"/>
            </w:tcMar>
          </w:tcPr>
          <w:p w14:paraId="2E3ED28B"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MNDWI</w:t>
            </w:r>
          </w:p>
        </w:tc>
        <w:tc>
          <w:tcPr>
            <w:tcW w:w="2175" w:type="dxa"/>
            <w:tcMar>
              <w:top w:w="100" w:type="dxa"/>
              <w:left w:w="100" w:type="dxa"/>
              <w:bottom w:w="100" w:type="dxa"/>
              <w:right w:w="100" w:type="dxa"/>
            </w:tcMar>
          </w:tcPr>
          <w:p w14:paraId="3B1FFCE8" w14:textId="77777777" w:rsidR="00AF077C"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135" w:type="dxa"/>
            <w:tcMar>
              <w:top w:w="100" w:type="dxa"/>
              <w:left w:w="100" w:type="dxa"/>
              <w:bottom w:w="100" w:type="dxa"/>
              <w:right w:w="100" w:type="dxa"/>
            </w:tcMar>
          </w:tcPr>
          <w:p w14:paraId="55362506" w14:textId="77777777" w:rsidR="00AF077C"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Wyliczany z 10/20 m</w:t>
            </w:r>
          </w:p>
        </w:tc>
      </w:tr>
    </w:tbl>
    <w:p w14:paraId="77E161A5" w14:textId="77777777" w:rsidR="00AF077C" w:rsidRDefault="00AF077C">
      <w:pPr>
        <w:spacing w:line="360" w:lineRule="auto"/>
        <w:jc w:val="both"/>
        <w:rPr>
          <w:rFonts w:ascii="Times New Roman" w:eastAsia="Times New Roman" w:hAnsi="Times New Roman" w:cs="Times New Roman"/>
          <w:sz w:val="24"/>
          <w:szCs w:val="24"/>
        </w:rPr>
      </w:pPr>
    </w:p>
    <w:p w14:paraId="1C6BF86C" w14:textId="77777777" w:rsidR="00AF077C" w:rsidRDefault="00000000">
      <w:pPr>
        <w:pStyle w:val="Heading2"/>
        <w:numPr>
          <w:ilvl w:val="0"/>
          <w:numId w:val="1"/>
        </w:numPr>
        <w:jc w:val="both"/>
        <w:rPr>
          <w:rFonts w:ascii="Times New Roman" w:eastAsia="Times New Roman" w:hAnsi="Times New Roman" w:cs="Times New Roman"/>
        </w:rPr>
      </w:pPr>
      <w:bookmarkStart w:id="3" w:name="_6ki2ihexb5yt" w:colFirst="0" w:colLast="0"/>
      <w:bookmarkEnd w:id="3"/>
      <w:r>
        <w:rPr>
          <w:rFonts w:ascii="Times New Roman" w:eastAsia="Times New Roman" w:hAnsi="Times New Roman" w:cs="Times New Roman"/>
        </w:rPr>
        <w:t>PRZYGOTOWANIE ZBIORU DANYCH I MASEK REFERENCYJNYCH</w:t>
      </w:r>
    </w:p>
    <w:p w14:paraId="7525F5E9"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 wyliczenia funkcji straty wykorzystano systemową warstwę klasyfikacji sceny SCL (ang. Scene Classification Layer) dostarczaną przez algorytm korekcji atmosferycznej Sen2Cor Europejskiej Agencji Kosmicznej. Za obszary wodne uznano wyłącznie piksele zaklasyfikowane do szóstej kategorii: </w:t>
      </w:r>
      <w:r>
        <w:rPr>
          <w:rFonts w:ascii="Times New Roman" w:eastAsia="Times New Roman" w:hAnsi="Times New Roman" w:cs="Times New Roman"/>
          <w:i/>
          <w:iCs/>
          <w:sz w:val="24"/>
          <w:szCs w:val="24"/>
        </w:rPr>
        <w:t>water_mask = (scl_data == 6)</w:t>
      </w:r>
      <w:r>
        <w:rPr>
          <w:rFonts w:ascii="Times New Roman" w:eastAsia="Times New Roman" w:hAnsi="Times New Roman" w:cs="Times New Roman"/>
          <w:sz w:val="24"/>
          <w:szCs w:val="24"/>
        </w:rPr>
        <w:t xml:space="preserve">, odrzucając przy tym wszystkie fragmenty zaszumione błędem czujnika, cieniami chmur lub brakiem danych. Pobranie maski referencyjnej bezpośrednio z algorytmu SCL zapobiegło zjawisku wycieku danych, które zachodziłoby w sytuacji uczenia sieci na maskach generowanych z progowania tego samego indeksu MNDWI, który podawano na wejście modelu. Warstwę SCL o natywnej rozdzielczości 20 m przeskalowano do siatki 10 m wyłącznie metodą najbliższego sąsiada, co zagwarantowało zachowanie dyskretnych wartości klasyfikatora bez wprowadzania sztucznych wartości pośrednich. </w:t>
      </w:r>
    </w:p>
    <w:p w14:paraId="4C57F211"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Złożony wycinek poddano kafelkowaniu, dzieląc go na mniejsze bloki o stałym rozmiarze 256 px na 256 px. W kodzie zaimplementowano mechanizm filtrowania, który akceptował jedynie te kafelki, na których obszar wodny stanowił 2%-98% procent powierzchni, gwarantując </w:t>
      </w:r>
      <w:r>
        <w:rPr>
          <w:rFonts w:ascii="Times New Roman" w:eastAsia="Times New Roman" w:hAnsi="Times New Roman" w:cs="Times New Roman"/>
          <w:sz w:val="24"/>
          <w:szCs w:val="24"/>
        </w:rPr>
        <w:lastRenderedPageBreak/>
        <w:t xml:space="preserve">obecność linii brzegowych w danych treningowych. Wynikiem tego etapu było uzyskanie czystego zestawu danych, składającego się z piętnastu kafelków przeznaczonych do uczenia sieci oraz czterech kafelków przeznaczonych do walidacji. </w:t>
      </w:r>
    </w:p>
    <w:p w14:paraId="64EE4AEB" w14:textId="77777777" w:rsidR="00AF077C" w:rsidRDefault="00000000">
      <w:pPr>
        <w:pStyle w:val="Heading2"/>
        <w:numPr>
          <w:ilvl w:val="0"/>
          <w:numId w:val="1"/>
        </w:numPr>
        <w:rPr>
          <w:rFonts w:ascii="Times New Roman" w:eastAsia="Times New Roman" w:hAnsi="Times New Roman" w:cs="Times New Roman"/>
        </w:rPr>
      </w:pPr>
      <w:bookmarkStart w:id="4" w:name="_94t1qzduzihl" w:colFirst="0" w:colLast="0"/>
      <w:bookmarkEnd w:id="4"/>
      <w:r>
        <w:rPr>
          <w:rFonts w:ascii="Times New Roman" w:eastAsia="Times New Roman" w:hAnsi="Times New Roman" w:cs="Times New Roman"/>
        </w:rPr>
        <w:t>ARCHITEKTURA MODELU I KONFIGURACJA PROCESU UCZENIA</w:t>
      </w:r>
    </w:p>
    <w:p w14:paraId="24BD03EC" w14:textId="77777777" w:rsidR="00AF077C" w:rsidRDefault="00AF077C"/>
    <w:p w14:paraId="024C3374"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 zadaniu segmentacji pikselowej wykorzystano architekturę U-Net wyeksportowaną z biblioteki segmentation_models_pytorch. W roli enkodera analizującego cechy przestrzenne zastosowano sieć ResNet-34 zainicjowaną wagami przetrenowanymi na potężnym zbiorze ImageNet. Model dostosowano w taki sposób, aby prawidłowo przyjmował informacje siedmiokanałowe na wejściu i zwracał jednokanałową mapę prawdopodobieństwa na warstwie wyjściowej. Na wyjściu sieci zrezygnowano z jawnej warstwy sigmoidalnej, generując surowe logity w celu zachowania stabilności numerycznej podczas kalkulacji gradientów. </w:t>
      </w:r>
    </w:p>
    <w:p w14:paraId="405E9DE4"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Ze względu na ograniczenia sprzętowe, cały proces treningowy przeprowadzono w środowisku procesora centralnego CPU i zaplanowano na dwadzieścia pięć epok. Zastosowano optymalizator AdamW z szybkością uczenia ustawioną na wartość 1e-4 oraz identycznym parametrem spadku wag służącym do regularyzacji. Funkcja kosztu została zdefiniowana jako hybryda łącząca w równych proporcjach błąd logistyczny Binary Cross-Entropy with Logits oraz błąd Dice:</w:t>
      </w:r>
    </w:p>
    <w:p w14:paraId="08DC08E1" w14:textId="77777777" w:rsidR="00AF077C" w:rsidRDefault="00AF077C">
      <w:pPr>
        <w:spacing w:line="360" w:lineRule="auto"/>
        <w:ind w:firstLine="720"/>
        <w:jc w:val="both"/>
        <w:rPr>
          <w:rFonts w:ascii="Times New Roman" w:eastAsia="Times New Roman" w:hAnsi="Times New Roman" w:cs="Times New Roman"/>
          <w:sz w:val="24"/>
          <w:szCs w:val="24"/>
        </w:rPr>
      </w:pPr>
    </w:p>
    <w:p w14:paraId="018DD560" w14:textId="77777777" w:rsidR="008D3D10" w:rsidRDefault="00000000" w:rsidP="008D3D10">
      <w:pPr>
        <w:spacing w:line="360" w:lineRule="auto"/>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Total</m:t>
              </m:r>
            </m:sub>
          </m:sSub>
          <m:r>
            <w:rPr>
              <w:rFonts w:ascii="Times New Roman" w:eastAsia="Times New Roman" w:hAnsi="Times New Roman" w:cs="Times New Roman"/>
              <w:sz w:val="24"/>
              <w:szCs w:val="24"/>
            </w:rPr>
            <m:t>=0.5⋅</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BCE</m:t>
              </m:r>
            </m:sub>
          </m:sSub>
          <m:r>
            <w:rPr>
              <w:rFonts w:ascii="Times New Roman" w:eastAsia="Times New Roman" w:hAnsi="Times New Roman" w:cs="Times New Roman"/>
              <w:sz w:val="24"/>
              <w:szCs w:val="24"/>
            </w:rPr>
            <m:t>+0.5⋅</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Dice</m:t>
              </m:r>
            </m:sub>
          </m:sSub>
        </m:oMath>
      </m:oMathPara>
    </w:p>
    <w:p w14:paraId="393F625F" w14:textId="77777777" w:rsidR="008D3D10" w:rsidRDefault="00000000" w:rsidP="008D3D10">
      <w:pPr>
        <w:spacing w:line="360" w:lineRule="auto"/>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BCE</m:t>
              </m:r>
            </m:sub>
          </m:sSub>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N</m:t>
              </m:r>
            </m:den>
          </m:f>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log(σ(</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))+(1-</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)log(1-σ(</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e>
          </m:nary>
        </m:oMath>
      </m:oMathPara>
    </w:p>
    <w:p w14:paraId="4FADAD94" w14:textId="77777777" w:rsidR="008D3D10" w:rsidRDefault="00000000" w:rsidP="008D3D10">
      <w:pPr>
        <w:spacing w:line="360" w:lineRule="auto"/>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L</m:t>
              </m:r>
            </m:e>
            <m:sub>
              <m:r>
                <w:rPr>
                  <w:rFonts w:ascii="Times New Roman" w:eastAsia="Times New Roman" w:hAnsi="Times New Roman" w:cs="Times New Roman"/>
                  <w:sz w:val="24"/>
                  <w:szCs w:val="24"/>
                </w:rPr>
                <m:t>Dice</m:t>
              </m:r>
            </m:sub>
          </m:sSub>
          <m:r>
            <w:rPr>
              <w:rFonts w:ascii="Times New Roman" w:eastAsia="Times New Roman" w:hAnsi="Times New Roman" w:cs="Times New Roman"/>
              <w:sz w:val="24"/>
              <w:szCs w:val="24"/>
            </w:rPr>
            <m:t>=1-</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2</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r>
                    <w:rPr>
                      <w:rFonts w:ascii="Times New Roman" w:eastAsia="Times New Roman" w:hAnsi="Times New Roman" w:cs="Times New Roman"/>
                      <w:sz w:val="24"/>
                      <w:szCs w:val="24"/>
                    </w:rPr>
                    <m:t>σ(</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nary>
              <m:r>
                <w:rPr>
                  <w:rFonts w:ascii="Times New Roman" w:eastAsia="Times New Roman" w:hAnsi="Times New Roman" w:cs="Times New Roman"/>
                  <w:sz w:val="24"/>
                  <w:szCs w:val="24"/>
                </w:rPr>
                <m:t>+ϵ</m:t>
              </m:r>
            </m:num>
            <m:den>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r>
                    <w:rPr>
                      <w:rFonts w:ascii="Times New Roman" w:eastAsia="Times New Roman" w:hAnsi="Times New Roman" w:cs="Times New Roman"/>
                      <w:sz w:val="24"/>
                      <w:szCs w:val="24"/>
                    </w:rPr>
                    <m:t>σ(</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e>
              </m:nary>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+ϵ</m:t>
                  </m:r>
                </m:e>
              </m:nary>
            </m:den>
          </m:f>
        </m:oMath>
      </m:oMathPara>
    </w:p>
    <w:p w14:paraId="44A99AF0" w14:textId="77777777" w:rsidR="00AF077C" w:rsidRDefault="00AF077C">
      <w:pPr>
        <w:spacing w:line="360" w:lineRule="auto"/>
        <w:jc w:val="both"/>
        <w:rPr>
          <w:rFonts w:ascii="Times New Roman" w:eastAsia="Times New Roman" w:hAnsi="Times New Roman" w:cs="Times New Roman"/>
          <w:sz w:val="24"/>
          <w:szCs w:val="24"/>
        </w:rPr>
      </w:pPr>
    </w:p>
    <w:p w14:paraId="39A9BC95"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gdzie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oMath>
      <w:r>
        <w:rPr>
          <w:rFonts w:ascii="Times New Roman" w:eastAsia="Times New Roman" w:hAnsi="Times New Roman" w:cs="Times New Roman"/>
          <w:sz w:val="24"/>
          <w:szCs w:val="24"/>
        </w:rPr>
        <w:t xml:space="preserve"> oznacza logit wyjściowy dla danego piksela, </w:t>
      </w:r>
      <m:oMath>
        <m:r>
          <w:rPr>
            <w:rFonts w:ascii="Cambria Math" w:hAnsi="Cambria Math"/>
          </w:rPr>
          <m:t>σ</m:t>
        </m:r>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z</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oMath>
      <w:r>
        <w:rPr>
          <w:rFonts w:ascii="Times New Roman" w:eastAsia="Times New Roman" w:hAnsi="Times New Roman" w:cs="Times New Roman"/>
          <w:sz w:val="24"/>
          <w:szCs w:val="24"/>
        </w:rPr>
        <w:t xml:space="preserve"> to wyliczone prawdopodobieństwo sigmoidalne,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w:r>
        <w:rPr>
          <w:rFonts w:ascii="Times New Roman" w:eastAsia="Times New Roman" w:hAnsi="Times New Roman" w:cs="Times New Roman"/>
          <w:sz w:val="24"/>
          <w:szCs w:val="24"/>
        </w:rPr>
        <w:t xml:space="preserve"> stanowi binarną etykietę referencyjną, natomiast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odpowiada liczbie pikseli w przetwarzanej paczce. Rozmiar paczki danych w trakcie uczenia określono na cztery obrazy, natomiast ewaluację przeprowadzano pojedynczo. </w:t>
      </w:r>
    </w:p>
    <w:p w14:paraId="3FB48056"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Jako model bazowy zaimplementowano algorytm progowania Otsu, który analizuje histogram wskaźnika NDWI i poszukuje progu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t</m:t>
            </m:r>
          </m:e>
          <m:sup>
            <m:r>
              <w:rPr>
                <w:rFonts w:ascii="Times New Roman" w:eastAsia="Times New Roman" w:hAnsi="Times New Roman" w:cs="Times New Roman"/>
                <w:sz w:val="24"/>
                <w:szCs w:val="24"/>
              </w:rPr>
              <m:t>*</m:t>
            </m:r>
          </m:sup>
        </m:sSup>
      </m:oMath>
      <w:r>
        <w:rPr>
          <w:rFonts w:ascii="Times New Roman" w:eastAsia="Times New Roman" w:hAnsi="Times New Roman" w:cs="Times New Roman"/>
          <w:sz w:val="24"/>
          <w:szCs w:val="24"/>
        </w:rPr>
        <w:t xml:space="preserve"> maksymalizującego wariancję międzyklasową: </w:t>
      </w:r>
    </w:p>
    <w:p w14:paraId="0AAC45C7" w14:textId="77777777" w:rsidR="00AF077C" w:rsidRDefault="00AF077C">
      <w:pPr>
        <w:spacing w:line="360" w:lineRule="auto"/>
        <w:jc w:val="both"/>
        <w:rPr>
          <w:rFonts w:ascii="Times New Roman" w:eastAsia="Times New Roman" w:hAnsi="Times New Roman" w:cs="Times New Roman"/>
          <w:sz w:val="24"/>
          <w:szCs w:val="24"/>
        </w:rPr>
      </w:pPr>
    </w:p>
    <w:p w14:paraId="0DFD914D" w14:textId="77777777" w:rsidR="00AF077C" w:rsidRDefault="00000000">
      <w:pPr>
        <w:spacing w:line="360" w:lineRule="auto"/>
        <w:jc w:val="center"/>
        <w:rPr>
          <w:rFonts w:ascii="Times New Roman" w:eastAsia="Times New Roman" w:hAnsi="Times New Roman" w:cs="Times New Roman"/>
          <w:sz w:val="24"/>
          <w:szCs w:val="24"/>
        </w:rPr>
      </w:pPr>
      <m:oMathPara>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t</m:t>
              </m:r>
            </m:e>
            <m:sup>
              <m:r>
                <w:rPr>
                  <w:rFonts w:ascii="Times New Roman" w:eastAsia="Times New Roman" w:hAnsi="Times New Roman" w:cs="Times New Roman"/>
                  <w:sz w:val="24"/>
                  <w:szCs w:val="24"/>
                </w:rPr>
                <m:t>*</m:t>
              </m:r>
            </m:sup>
          </m:sSup>
          <m:r>
            <w:rPr>
              <w:rFonts w:ascii="Times New Roman" w:eastAsia="Times New Roman" w:hAnsi="Times New Roman" w:cs="Times New Roman"/>
              <w:sz w:val="24"/>
              <w:szCs w:val="24"/>
            </w:rPr>
            <m:t xml:space="preserve">=arg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max</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ω</m:t>
              </m:r>
            </m:e>
            <m:sub>
              <m:r>
                <w:rPr>
                  <w:rFonts w:ascii="Times New Roman" w:eastAsia="Times New Roman" w:hAnsi="Times New Roman" w:cs="Times New Roman"/>
                  <w:sz w:val="24"/>
                  <w:szCs w:val="24"/>
                </w:rPr>
                <m:t>0</m:t>
              </m:r>
            </m:sub>
          </m:sSub>
          <m:r>
            <w:rPr>
              <w:rFonts w:ascii="Times New Roman" w:eastAsia="Times New Roman" w:hAnsi="Times New Roman" w:cs="Times New Roman"/>
              <w:sz w:val="24"/>
              <w:szCs w:val="24"/>
            </w:rPr>
            <m:t>(t)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ω</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(t)</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0</m:t>
                  </m:r>
                </m:sub>
              </m:sSub>
              <m:r>
                <w:rPr>
                  <w:rFonts w:ascii="Times New Roman" w:eastAsia="Times New Roman" w:hAnsi="Times New Roman" w:cs="Times New Roman"/>
                  <w:sz w:val="24"/>
                  <w:szCs w:val="24"/>
                </w:rPr>
                <m:t>(t)-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(t))</m:t>
              </m:r>
            </m:e>
            <m:sup>
              <m:r>
                <w:rPr>
                  <w:rFonts w:ascii="Times New Roman" w:eastAsia="Times New Roman" w:hAnsi="Times New Roman" w:cs="Times New Roman"/>
                  <w:sz w:val="24"/>
                  <w:szCs w:val="24"/>
                </w:rPr>
                <m:t>2</m:t>
              </m:r>
            </m:sup>
          </m:sSup>
          <m:r>
            <w:rPr>
              <w:rFonts w:ascii="Times New Roman" w:eastAsia="Times New Roman" w:hAnsi="Times New Roman" w:cs="Times New Roman"/>
              <w:sz w:val="24"/>
              <w:szCs w:val="24"/>
            </w:rPr>
            <m:t>]</m:t>
          </m:r>
        </m:oMath>
      </m:oMathPara>
    </w:p>
    <w:p w14:paraId="53BBFEAE" w14:textId="77777777" w:rsidR="00AF077C" w:rsidRDefault="00AF077C">
      <w:pPr>
        <w:spacing w:line="360" w:lineRule="auto"/>
        <w:jc w:val="center"/>
        <w:rPr>
          <w:rFonts w:ascii="Times New Roman" w:eastAsia="Times New Roman" w:hAnsi="Times New Roman" w:cs="Times New Roman"/>
          <w:sz w:val="24"/>
          <w:szCs w:val="24"/>
        </w:rPr>
      </w:pPr>
    </w:p>
    <w:p w14:paraId="6E262C87" w14:textId="77777777" w:rsidR="00AF077C"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gdzie </w:t>
      </w:r>
      <m:oMath>
        <m:sSub>
          <m:sSubPr>
            <m:ctrlPr>
              <w:rPr>
                <w:rFonts w:ascii="Times New Roman" w:eastAsia="Times New Roman" w:hAnsi="Times New Roman" w:cs="Times New Roman"/>
                <w:sz w:val="24"/>
                <w:szCs w:val="24"/>
              </w:rPr>
            </m:ctrlPr>
          </m:sSubPr>
          <m:e>
            <m:r>
              <w:rPr>
                <w:rFonts w:ascii="Cambria Math" w:hAnsi="Cambria Math"/>
              </w:rPr>
              <m:t>ω</m:t>
            </m:r>
          </m:e>
          <m:sub>
            <m:r>
              <w:rPr>
                <w:rFonts w:ascii="Times New Roman" w:eastAsia="Times New Roman" w:hAnsi="Times New Roman" w:cs="Times New Roman"/>
                <w:sz w:val="24"/>
                <w:szCs w:val="24"/>
              </w:rPr>
              <m:t>0</m:t>
            </m:r>
          </m:sub>
        </m:sSub>
        <m:r>
          <w:rPr>
            <w:rFonts w:ascii="Times New Roman" w:eastAsia="Times New Roman" w:hAnsi="Times New Roman" w:cs="Times New Roman"/>
            <w:sz w:val="24"/>
            <w:szCs w:val="24"/>
          </w:rPr>
          <m:t>(t),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ω</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(t)</m:t>
        </m:r>
      </m:oMath>
      <w:r>
        <w:rPr>
          <w:rFonts w:ascii="Times New Roman" w:eastAsia="Times New Roman" w:hAnsi="Times New Roman" w:cs="Times New Roman"/>
          <w:sz w:val="24"/>
          <w:szCs w:val="24"/>
        </w:rPr>
        <w:t xml:space="preserve"> odpowiadają prawdopodobieństwom wystąpienia klas tła i wody, a </w:t>
      </w:r>
      <m:oMath>
        <m:sSub>
          <m:sSubPr>
            <m:ctrlPr>
              <w:rPr>
                <w:rFonts w:ascii="Times New Roman" w:eastAsia="Times New Roman" w:hAnsi="Times New Roman" w:cs="Times New Roman"/>
                <w:sz w:val="24"/>
                <w:szCs w:val="24"/>
              </w:rPr>
            </m:ctrlPr>
          </m:sSubPr>
          <m:e>
            <m:r>
              <w:rPr>
                <w:rFonts w:ascii="Cambria Math" w:hAnsi="Cambria Math"/>
              </w:rPr>
              <m:t>μ</m:t>
            </m:r>
          </m:e>
          <m:sub>
            <m:r>
              <w:rPr>
                <w:rFonts w:ascii="Times New Roman" w:eastAsia="Times New Roman" w:hAnsi="Times New Roman" w:cs="Times New Roman"/>
                <w:sz w:val="24"/>
                <w:szCs w:val="24"/>
              </w:rPr>
              <m:t>0</m:t>
            </m:r>
          </m:sub>
        </m:sSub>
        <m:r>
          <w:rPr>
            <w:rFonts w:ascii="Times New Roman" w:eastAsia="Times New Roman" w:hAnsi="Times New Roman" w:cs="Times New Roman"/>
            <w:sz w:val="24"/>
            <w:szCs w:val="24"/>
          </w:rPr>
          <m:t>(t),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(t)</m:t>
        </m:r>
      </m:oMath>
      <w:r>
        <w:rPr>
          <w:rFonts w:ascii="Times New Roman" w:eastAsia="Times New Roman" w:hAnsi="Times New Roman" w:cs="Times New Roman"/>
          <w:sz w:val="24"/>
          <w:szCs w:val="24"/>
        </w:rPr>
        <w:t xml:space="preserve"> oznaczają ich wartości średnie. </w:t>
      </w:r>
    </w:p>
    <w:p w14:paraId="498736A5" w14:textId="77777777" w:rsidR="00AF077C" w:rsidRDefault="00000000">
      <w:pPr>
        <w:pStyle w:val="Heading2"/>
        <w:numPr>
          <w:ilvl w:val="0"/>
          <w:numId w:val="1"/>
        </w:numPr>
        <w:spacing w:line="360" w:lineRule="auto"/>
        <w:jc w:val="both"/>
        <w:rPr>
          <w:rFonts w:ascii="Times New Roman" w:eastAsia="Times New Roman" w:hAnsi="Times New Roman" w:cs="Times New Roman"/>
        </w:rPr>
      </w:pPr>
      <w:bookmarkStart w:id="5" w:name="_dgo3ahfs6s0c" w:colFirst="0" w:colLast="0"/>
      <w:bookmarkEnd w:id="5"/>
      <w:r>
        <w:rPr>
          <w:rFonts w:ascii="Times New Roman" w:eastAsia="Times New Roman" w:hAnsi="Times New Roman" w:cs="Times New Roman"/>
        </w:rPr>
        <w:t>ANALIZA ZBIEŻNOŚCI I WYNIKI TRENINGU</w:t>
      </w:r>
    </w:p>
    <w:p w14:paraId="63483EAB"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 optymalizacji wag przebiegał w sposób niezwykle stabilny, co doskonale udowadniają zrzucone logi z kolejnych iteracji. W pierwszej epoce model zanotował błąd treningowy na poziomie 0.5275 oraz błąd walidacyjny rzędu 0.5810, osiągając przy tym znikomą skuteczność mierzoną metryką Val IoU wynoszącą 0.2261. Zjawisko to jest naturalnym następstwem transferu wiedzy - podczas gdy głębsze warstwy enkodera posiadały gotowe filtry detekcji krawędzi, pierwsza warstwa konwolucyjna musiała od podstaw wyznaczyć wagi dla nietypowego, 7-kanałowego tensora wejściowego. </w:t>
      </w:r>
    </w:p>
    <w:p w14:paraId="65990115" w14:textId="77777777"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 każdą kolejną epoką parametry błędu ulegały redukcji. Już w dziesiątej epoce błąd treningowy spadł do poziomu 0.1819, a główna metryka ewaluacyjna IoU przekroczyła granicę 0.97. Proces uczenia zakończył się po dwudziestu pięciu epokach z końcowym, niezwykle niskim błędem na zbiorze uczącym równym 0.1117 i walidacyjnym schodzącym do poziomu 0.1015. Najlepsza zaobserwowana wartość Val IoU dla tego zbioru ukształtowała się na poziomie 0.9855, co wskazuje na doskonałe dopasowanie geometrii modelu do specyfiki lokalnych zbiorników wodnych, bez jakichkolwiek oznak zjawiska przetrenowania. Zastosowany mechanizm wczesnego zapisu najlepszego punktu kontrolnego zabezpieczył wagi modelu przed ewentualnymi oscylacjami w ostatnich iteracjach. </w:t>
      </w:r>
    </w:p>
    <w:p w14:paraId="39CB701A" w14:textId="77777777" w:rsidR="00AF077C" w:rsidRDefault="00000000">
      <w:pPr>
        <w:pStyle w:val="Heading2"/>
        <w:numPr>
          <w:ilvl w:val="0"/>
          <w:numId w:val="1"/>
        </w:numPr>
        <w:spacing w:line="360" w:lineRule="auto"/>
        <w:rPr>
          <w:rFonts w:ascii="Times New Roman" w:eastAsia="Times New Roman" w:hAnsi="Times New Roman" w:cs="Times New Roman"/>
        </w:rPr>
      </w:pPr>
      <w:bookmarkStart w:id="6" w:name="_xazc9fhnqgby" w:colFirst="0" w:colLast="0"/>
      <w:bookmarkEnd w:id="6"/>
      <w:r>
        <w:rPr>
          <w:rFonts w:ascii="Times New Roman" w:eastAsia="Times New Roman" w:hAnsi="Times New Roman" w:cs="Times New Roman"/>
        </w:rPr>
        <w:t>EWALUACJA KOŃCOWA I ANALIZA PORÓWNAWCZA Z MODELEM BAZOWYM</w:t>
      </w:r>
    </w:p>
    <w:p w14:paraId="4C985762"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 celu obiektywnego porównania modeli metryki wyliczono w sposób zagregowany dla całego zbioru walidacyjnego, akumulując sumy iloczynów i sum logicznych zbiorów:  </w:t>
      </w:r>
    </w:p>
    <w:p w14:paraId="0B5D1E73" w14:textId="77777777" w:rsidR="00AF077C" w:rsidRDefault="00000000">
      <w:pPr>
        <w:spacing w:line="360" w:lineRule="auto"/>
        <w:jc w:val="center"/>
        <w:rPr>
          <w:rFonts w:ascii="Times New Roman" w:eastAsia="Times New Roman" w:hAnsi="Times New Roman" w:cs="Times New Roman"/>
          <w:sz w:val="24"/>
          <w:szCs w:val="24"/>
        </w:rPr>
      </w:pPr>
      <m:oMath>
        <m:r>
          <w:rPr>
            <w:rFonts w:ascii="Times New Roman" w:eastAsia="Times New Roman" w:hAnsi="Times New Roman" w:cs="Times New Roman"/>
            <w:sz w:val="24"/>
            <w:szCs w:val="24"/>
          </w:rPr>
          <m:t>Global IoU=</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Σ|P </m:t>
            </m:r>
            <m:r>
              <m:rPr>
                <m:sty m:val="bi"/>
              </m:rPr>
              <w:rPr>
                <w:rFonts w:ascii="Cambria Math" w:hAnsi="Cambria Math"/>
                <w:sz w:val="24"/>
                <w:szCs w:val="24"/>
              </w:rPr>
              <m:t>∩</m:t>
            </m:r>
            <m:r>
              <w:rPr>
                <w:rFonts w:ascii="Times New Roman" w:eastAsia="Times New Roman" w:hAnsi="Times New Roman" w:cs="Times New Roman"/>
                <w:sz w:val="24"/>
                <w:szCs w:val="24"/>
              </w:rPr>
              <m:t xml:space="preserve"> T|+ϵ</m:t>
            </m:r>
          </m:num>
          <m:den>
            <m:r>
              <w:rPr>
                <w:rFonts w:ascii="Times New Roman" w:eastAsia="Times New Roman" w:hAnsi="Times New Roman" w:cs="Times New Roman"/>
                <w:sz w:val="24"/>
                <w:szCs w:val="24"/>
              </w:rPr>
              <m:t xml:space="preserve">Σ|P </m:t>
            </m:r>
            <m:r>
              <m:rPr>
                <m:sty m:val="bi"/>
              </m:rPr>
              <w:rPr>
                <w:rFonts w:ascii="Cambria Math" w:hAnsi="Cambria Math"/>
                <w:sz w:val="24"/>
                <w:szCs w:val="24"/>
              </w:rPr>
              <m:t>∪</m:t>
            </m:r>
            <m:r>
              <w:rPr>
                <w:rFonts w:ascii="Times New Roman" w:eastAsia="Times New Roman" w:hAnsi="Times New Roman" w:cs="Times New Roman"/>
                <w:sz w:val="24"/>
                <w:szCs w:val="24"/>
              </w:rPr>
              <m:t xml:space="preserve"> T|+ϵ</m:t>
            </m:r>
          </m:den>
        </m:f>
      </m:oMath>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r>
      <m:oMath>
        <m:r>
          <w:rPr>
            <w:rFonts w:ascii="Times New Roman" w:eastAsia="Times New Roman" w:hAnsi="Times New Roman" w:cs="Times New Roman"/>
            <w:sz w:val="24"/>
            <w:szCs w:val="24"/>
          </w:rPr>
          <m:t>Global Dice=</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2Σ|P </m:t>
            </m:r>
            <m:r>
              <m:rPr>
                <m:sty m:val="bi"/>
              </m:rPr>
              <w:rPr>
                <w:rFonts w:ascii="Cambria Math" w:hAnsi="Cambria Math"/>
                <w:sz w:val="24"/>
                <w:szCs w:val="24"/>
              </w:rPr>
              <m:t>∩</m:t>
            </m:r>
            <m:r>
              <w:rPr>
                <w:rFonts w:ascii="Times New Roman" w:eastAsia="Times New Roman" w:hAnsi="Times New Roman" w:cs="Times New Roman"/>
                <w:sz w:val="24"/>
                <w:szCs w:val="24"/>
              </w:rPr>
              <m:t xml:space="preserve"> T|+ϵ</m:t>
            </m:r>
          </m:num>
          <m:den>
            <m:r>
              <w:rPr>
                <w:rFonts w:ascii="Times New Roman" w:eastAsia="Times New Roman" w:hAnsi="Times New Roman" w:cs="Times New Roman"/>
                <w:sz w:val="24"/>
                <w:szCs w:val="24"/>
              </w:rPr>
              <m:t>Σ|P|+Σ|T|+ϵ</m:t>
            </m:r>
          </m:den>
        </m:f>
      </m:oMath>
    </w:p>
    <w:p w14:paraId="0E65DF12"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Wydajność wytrenowanej sieci U-Net została dodatkowo zestawiona z modelem bazowym działającym w oparciu o algorytm progowania Otsu, który zaaplikowano bezpośrednio do wyliczonego w pierwszym etapie indeksu NDWI. Podejście oparte na </w:t>
      </w:r>
      <w:r>
        <w:rPr>
          <w:rFonts w:ascii="Times New Roman" w:eastAsia="Times New Roman" w:hAnsi="Times New Roman" w:cs="Times New Roman"/>
          <w:sz w:val="24"/>
          <w:szCs w:val="24"/>
        </w:rPr>
        <w:lastRenderedPageBreak/>
        <w:t xml:space="preserve">klasycznej analizie obrazu osiągnęło w ujęciu globalnym wartość IoU rzędu 0.9851 oraz Dice na poziomie 0.9925. Sieć konwolucyjna wypadła mimo to lepiej - wytrenowany model U-Net, weryfikowany przy standardowym progu odcięcia 0.5, osiągnął globalne IoU równe 0.9855 i metrykę Dice na poziomie 0.9927. </w:t>
      </w:r>
    </w:p>
    <w:p w14:paraId="752B7F57" w14:textId="0296310F" w:rsidR="00AF077C"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Wygenerowany w ramach podsumowania plik graficzny zapisany pod nazwą evaluation_results.</w:t>
      </w:r>
      <w:r w:rsidR="009F2C6C">
        <w:rPr>
          <w:rFonts w:ascii="Times New Roman" w:eastAsia="Times New Roman" w:hAnsi="Times New Roman" w:cs="Times New Roman"/>
          <w:sz w:val="24"/>
          <w:szCs w:val="24"/>
        </w:rPr>
        <w:t>png</w:t>
      </w:r>
      <w:r>
        <w:rPr>
          <w:rFonts w:ascii="Times New Roman" w:eastAsia="Times New Roman" w:hAnsi="Times New Roman" w:cs="Times New Roman"/>
          <w:sz w:val="24"/>
          <w:szCs w:val="24"/>
        </w:rPr>
        <w:t xml:space="preserve"> pozwala na wizualną ocenę predykcji. Porównanie naturalnej kompozycji RGB, maski stworzonej algorytmem progowania Otsu, probabilistycznej mapy wyjściowej z sieci U-Net i ostatecznej referencyjnej warstwy SCL udowadnia, że obie metody świetnie radzą sobie z modelowaniem skomplikowanej linii brzegowej. Architektura oparta o głębokie uczenie maszynowe zapewnia jednak minimalnie lepszą szczelność segmentacji i skuteczniej ignoruje lokalne nieścisłości. </w:t>
      </w:r>
    </w:p>
    <w:p w14:paraId="20C12997" w14:textId="77777777" w:rsidR="00AF077C" w:rsidRDefault="00AF077C">
      <w:pPr>
        <w:spacing w:line="360" w:lineRule="auto"/>
        <w:ind w:firstLine="720"/>
        <w:jc w:val="both"/>
        <w:rPr>
          <w:rFonts w:ascii="Times New Roman" w:eastAsia="Times New Roman" w:hAnsi="Times New Roman" w:cs="Times New Roman"/>
          <w:sz w:val="24"/>
          <w:szCs w:val="24"/>
        </w:rPr>
      </w:pPr>
    </w:p>
    <w:p w14:paraId="2D65386F" w14:textId="77777777" w:rsidR="00AF077C"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0"/>
          <w:szCs w:val="20"/>
        </w:rPr>
        <w:t>Rys. 1. Zestawienie kompozycji RGB, metody Otsu, predykcji U-Net oraz maski referencyjnej.</w:t>
      </w:r>
      <w:r>
        <w:rPr>
          <w:rFonts w:ascii="Times New Roman" w:eastAsia="Times New Roman" w:hAnsi="Times New Roman" w:cs="Times New Roman"/>
          <w:noProof/>
          <w:sz w:val="24"/>
          <w:szCs w:val="24"/>
        </w:rPr>
        <w:drawing>
          <wp:inline distT="114300" distB="114300" distL="114300" distR="114300" wp14:anchorId="197AAFB2" wp14:editId="12B3014E">
            <wp:extent cx="5731200" cy="1435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1200" cy="1435100"/>
                    </a:xfrm>
                    <a:prstGeom prst="rect">
                      <a:avLst/>
                    </a:prstGeom>
                    <a:ln/>
                  </pic:spPr>
                </pic:pic>
              </a:graphicData>
            </a:graphic>
          </wp:inline>
        </w:drawing>
      </w:r>
    </w:p>
    <w:p w14:paraId="1F32C51B" w14:textId="77777777" w:rsidR="00AF077C" w:rsidRDefault="00AF077C">
      <w:pPr>
        <w:spacing w:line="360" w:lineRule="auto"/>
        <w:rPr>
          <w:rFonts w:ascii="Times New Roman" w:eastAsia="Times New Roman" w:hAnsi="Times New Roman" w:cs="Times New Roman"/>
          <w:sz w:val="24"/>
          <w:szCs w:val="24"/>
        </w:rPr>
      </w:pPr>
    </w:p>
    <w:p w14:paraId="79C05AEC"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Szczegółowa analiza kafelka przedstawionego na Rys. 1 pozwala precyzyjnie zweryfikować zachowanie obu metod na trudnym fragmencie wybrzeża, obejmującym zróżnicowany cypel lądu, wąski kanał wodny po lewej stronie oraz toń z widocznymi smugami prądowymi i zawiesiną. Na kompozycji RGB wzdłuż linii brzegowej wyraźnie odznacza się jaskrawozielony pas roślinności szuwarowej i płycizn. Na drugim panelu, prezentującym wynik progowania Otsu, widoczne są charakterystyczne artefakty tej metody. Tuż na południe od wysuniętego cypla algorytm wygenerował oderwane od brzegu, białe skupiska pikseli w otwartej wodzie. Są to fałszywe negatywy wywołane lokalną obecnością podpowierzchniowej roślinności oraz zawiesiny mineralnej, która podwyższa reflektancję w bliskiej podczerwieni B08 i zaniża wartość wskaźnika NDWI poniżej wyznaczonego globalnie progu. Ponadto wzdłuż wąskiego kanału po lewej stronie progowanie jednoindeksowe wykazuje tendencję do zrywania ciągłości cieku w miejscach silniejszego zarastania koryta. Predykcja sieci U-Net widoczna na trzecim panelu całkowicie eliminuje te niedoskonałości. Model, korzystając z pełnego 7-kanałowego tensora (w tym pasma SWIR B11 oraz wskaźnika MNDWI) i </w:t>
      </w:r>
      <w:r>
        <w:rPr>
          <w:rFonts w:ascii="Times New Roman" w:eastAsia="Times New Roman" w:hAnsi="Times New Roman" w:cs="Times New Roman"/>
          <w:sz w:val="24"/>
          <w:szCs w:val="24"/>
        </w:rPr>
        <w:lastRenderedPageBreak/>
        <w:t xml:space="preserve">przestrzennego kontekstu sąsiednich pikseli, bezbłędnie odfiltrował szum w toni wodnej, zachowując jednolitą powierzchnię akwenu i odrzucając fałszywe wysepki wygenerowane przez Otsu. Jednocześnie sieć precyzyjnie odwzorowała przebieg wąskiego kanału rzecznego, utrzymując jego pełną drożność hydrauliczną na całej długości. Kluczowy wniosek płynie z porównania predykcji U-Net z maską referencyjną SCL na czwartym panelu. Maska SCL wykazuje wyraźną, schodkową strukturę krawędzi, będącą bezpośrednią konsekwencją powiększenia kategorycznych danych z natywnej rozdzielczości 20 m metodą najbliższego sąsiada. Zjawisko to widać szczególnie jaskrawo wzdłuż wschodniego brzegu cypla oraz na obrzeżach kanału. Sieć U-Net nie powieliła tej schodkowości. Dzięki połączeniom omijającym, które przenoszą wysokorozdzielcze informacje przestrzenne z początkowych poziomów enkodera zasilanych pasmami 10-metrowymi (B02, B03, B04, B08), model wygenerował gładką, naturalną granicę lądu i wody, wiernie pokrywającą się z rzeczywistą geometrią widoczną na naturalnej kompozycji barwnej. Oznacza to, że sieć nauczyła się semantycznej definicji wody z 20-metrowej maski Sen2Cor, ale precyzję przestrzenną krawędzi wyznacza w oparciu o ostrzejsze pasma 10-metrowe, przewyższając rozdzielczość samego zbioru uczącego. </w:t>
      </w:r>
    </w:p>
    <w:p w14:paraId="636CFFD3" w14:textId="77777777" w:rsidR="00AF077C" w:rsidRDefault="00000000">
      <w:pPr>
        <w:pStyle w:val="Heading2"/>
        <w:numPr>
          <w:ilvl w:val="0"/>
          <w:numId w:val="1"/>
        </w:numPr>
        <w:spacing w:line="360" w:lineRule="auto"/>
        <w:jc w:val="both"/>
        <w:rPr>
          <w:rFonts w:ascii="Times New Roman" w:eastAsia="Times New Roman" w:hAnsi="Times New Roman" w:cs="Times New Roman"/>
        </w:rPr>
      </w:pPr>
      <w:bookmarkStart w:id="7" w:name="_gnzfu1klpj2u" w:colFirst="0" w:colLast="0"/>
      <w:bookmarkEnd w:id="7"/>
      <w:r>
        <w:rPr>
          <w:rFonts w:ascii="Times New Roman" w:eastAsia="Times New Roman" w:hAnsi="Times New Roman" w:cs="Times New Roman"/>
        </w:rPr>
        <w:t>WNIOSKI I PERSPEKTYWY ROZWOJU</w:t>
      </w:r>
    </w:p>
    <w:p w14:paraId="679F37AA"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Zrealizowany eksperyment potwierdził wysoką skuteczność konwolucyjnej sieci U-Net z enkoderem ResNet-34 w zadaniu wielospektralnej segmentacji wód powierzchniowych. Zastąpienie prostej maski z progowania MNDWI niezależną warstwą klasyfikacyjną SCL wyeliminowało ryzyko wycieku danych, a włączenie pasma SWIR (B11) oraz wskaźników spektralnych do 7-kanałowego tensora wejściowego dostarczyło modelowi kompletnych cech fizycznych. Choć klasyczna metoda Otsu na wskaźniku NDWI osiągnęła wysokie globalne metryki (IoU równe 0.9851), to analiza jakościowa wykazała jej wyraźną podatność na zakłócenia wywołane zawiesiną mineralną i roślinnością podwodną. Sieć neuronowa dzięki integracji cech spektralnych i kontekstu przestrzennego zachowała pełną jednorodność akwenów, osiągając globalne IoU na poziomie 0.9855. Co szczególnie istotne, dzięki połączeniom omijającym model odtworzył przebieg linii brzegowej z gładkością odpowiadającą pasmom 10-metrowym, przewyższając ostrość samej 20-metrowej maski referencyjnej. </w:t>
      </w:r>
    </w:p>
    <w:p w14:paraId="622751D1" w14:textId="77777777" w:rsidR="00AF077C"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Głównym ograniczeniem obecnego prototypu jest oparcie zbioru danych na pojedynczej scenie z okresu letniego oraz niewielka liczba wyciętych kafelków wymuszona </w:t>
      </w:r>
      <w:r>
        <w:rPr>
          <w:rFonts w:ascii="Times New Roman" w:eastAsia="Times New Roman" w:hAnsi="Times New Roman" w:cs="Times New Roman"/>
          <w:sz w:val="24"/>
          <w:szCs w:val="24"/>
        </w:rPr>
        <w:lastRenderedPageBreak/>
        <w:t xml:space="preserve">treningiem na procesorze CPU. W ramach dalszych prac naturalnym krokiem rozwoju projektu byłoby rozszerzenie potoku o zobrazowania z różnych pór roku oraz odmiennych obszarów geograficznych, w tym rzek górskich i obszarów zurbanizowanych z głębokimi cieniami budynków. Istotnym usprawnieniem potoku danych byłoby także wdrożenie zaawansowanych augmentacji przestrzennych i radiometrycznych z wykorzystaniem biblioteki Albumentations, a także przetestowanie nowszych architektur segmentacyjnych opartych na mechanizmach uwagi, takich jak SegFormer. </w:t>
      </w:r>
    </w:p>
    <w:sectPr w:rsidR="00AF077C">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embedItalic r:id="rId1" w:fontKey="{A2C14CD4-B9E8-466F-8BEC-DCB2FF71D4F9}"/>
    <w:embedBoldItalic r:id="rId2" w:fontKey="{65C206E7-4FA4-46D0-872B-8DE72724E7F5}"/>
  </w:font>
  <w:font w:name="Calibri">
    <w:panose1 w:val="020F0502020204030204"/>
    <w:charset w:val="EE"/>
    <w:family w:val="swiss"/>
    <w:pitch w:val="variable"/>
    <w:sig w:usb0="E4002EFF" w:usb1="C200247B" w:usb2="00000009" w:usb3="00000000" w:csb0="000001FF" w:csb1="00000000"/>
    <w:embedRegular r:id="rId3" w:fontKey="{9474AF21-E856-42FE-846E-38E7496D45F3}"/>
  </w:font>
  <w:font w:name="Cambria">
    <w:panose1 w:val="02040503050406030204"/>
    <w:charset w:val="EE"/>
    <w:family w:val="roman"/>
    <w:pitch w:val="variable"/>
    <w:sig w:usb0="E00006FF" w:usb1="420024FF" w:usb2="02000000" w:usb3="00000000" w:csb0="0000019F" w:csb1="00000000"/>
    <w:embedRegular r:id="rId4" w:fontKey="{D98FD291-7F19-4A3F-9674-EC6DBB5D04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0264F"/>
    <w:multiLevelType w:val="multilevel"/>
    <w:tmpl w:val="A2FAD8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26737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77C"/>
    <w:rsid w:val="007A684E"/>
    <w:rsid w:val="008D3D10"/>
    <w:rsid w:val="009F2C6C"/>
    <w:rsid w:val="00AF077C"/>
    <w:rsid w:val="00C9726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8845C"/>
  <w15:docId w15:val="{76A3D64C-286D-4A20-8FE6-F37F9498D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2161</Words>
  <Characters>12967</Characters>
  <Application>Microsoft Office Word</Application>
  <DocSecurity>0</DocSecurity>
  <Lines>108</Lines>
  <Paragraphs>30</Paragraphs>
  <ScaleCrop>false</ScaleCrop>
  <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Aleksandra Stanisz</cp:lastModifiedBy>
  <cp:revision>3</cp:revision>
  <dcterms:created xsi:type="dcterms:W3CDTF">2026-10-18T14:03:00Z</dcterms:created>
  <dcterms:modified xsi:type="dcterms:W3CDTF">2026-10-18T14:17:00Z</dcterms:modified>
</cp:coreProperties>
</file>