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D88B2" w14:textId="77777777" w:rsidR="00AF077C" w:rsidRDefault="00000000">
      <w:pPr>
        <w:pStyle w:val="Heading1"/>
        <w:jc w:val="both"/>
        <w:rPr>
          <w:rFonts w:ascii="Times New Roman" w:eastAsia="Times New Roman" w:hAnsi="Times New Roman" w:cs="Times New Roman"/>
        </w:rPr>
      </w:pPr>
      <w:bookmarkStart w:id="0" w:name="_uasj515kngdn" w:colFirst="0" w:colLast="0"/>
      <w:bookmarkEnd w:id="0"/>
      <w:r>
        <w:rPr>
          <w:rFonts w:ascii="Times New Roman" w:eastAsia="Times New Roman" w:hAnsi="Times New Roman" w:cs="Times New Roman"/>
        </w:rPr>
        <w:t xml:space="preserve">Segmentacja zbiorników wodnych na podstawie </w:t>
      </w:r>
      <w:proofErr w:type="spellStart"/>
      <w:r>
        <w:rPr>
          <w:rFonts w:ascii="Times New Roman" w:eastAsia="Times New Roman" w:hAnsi="Times New Roman" w:cs="Times New Roman"/>
        </w:rPr>
        <w:t>wielospektralnych</w:t>
      </w:r>
      <w:proofErr w:type="spellEnd"/>
      <w:r>
        <w:rPr>
          <w:rFonts w:ascii="Times New Roman" w:eastAsia="Times New Roman" w:hAnsi="Times New Roman" w:cs="Times New Roman"/>
        </w:rPr>
        <w:t xml:space="preserve"> danych satelitarnych Sentinel-2 z wykorzystaniem sieci </w:t>
      </w:r>
      <w:proofErr w:type="spellStart"/>
      <w:r>
        <w:rPr>
          <w:rFonts w:ascii="Times New Roman" w:eastAsia="Times New Roman" w:hAnsi="Times New Roman" w:cs="Times New Roman"/>
        </w:rPr>
        <w:t>konwolucyjnej</w:t>
      </w:r>
      <w:proofErr w:type="spellEnd"/>
      <w:r>
        <w:rPr>
          <w:rFonts w:ascii="Times New Roman" w:eastAsia="Times New Roman" w:hAnsi="Times New Roman" w:cs="Times New Roman"/>
        </w:rPr>
        <w:t xml:space="preserve"> U-Net oraz metody </w:t>
      </w:r>
      <w:proofErr w:type="spellStart"/>
      <w:r>
        <w:rPr>
          <w:rFonts w:ascii="Times New Roman" w:eastAsia="Times New Roman" w:hAnsi="Times New Roman" w:cs="Times New Roman"/>
        </w:rPr>
        <w:t>Otsu</w:t>
      </w:r>
      <w:proofErr w:type="spellEnd"/>
    </w:p>
    <w:p w14:paraId="26B219BD" w14:textId="77777777" w:rsidR="00AF077C" w:rsidRDefault="00AF077C"/>
    <w:p w14:paraId="199231EB" w14:textId="77777777" w:rsidR="00AF077C" w:rsidRDefault="00000000">
      <w:pPr>
        <w:pStyle w:val="Heading2"/>
        <w:numPr>
          <w:ilvl w:val="0"/>
          <w:numId w:val="1"/>
        </w:numPr>
        <w:rPr>
          <w:rFonts w:ascii="Times New Roman" w:eastAsia="Times New Roman" w:hAnsi="Times New Roman" w:cs="Times New Roman"/>
        </w:rPr>
      </w:pPr>
      <w:bookmarkStart w:id="1" w:name="_qe65cn3ccgh7" w:colFirst="0" w:colLast="0"/>
      <w:bookmarkEnd w:id="1"/>
      <w:r>
        <w:rPr>
          <w:rFonts w:ascii="Times New Roman" w:eastAsia="Times New Roman" w:hAnsi="Times New Roman" w:cs="Times New Roman"/>
        </w:rPr>
        <w:t>WSTĘP TEORETYCZNY I CEL PROJEKTU</w:t>
      </w:r>
    </w:p>
    <w:p w14:paraId="1891B813"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Celem projektu była budowa i weryfikacja potoku uczenia maszynowego do automatycznej, binarnej segmentacji wód powierzchniowych na </w:t>
      </w:r>
      <w:proofErr w:type="spellStart"/>
      <w:r>
        <w:rPr>
          <w:rFonts w:ascii="Times New Roman" w:eastAsia="Times New Roman" w:hAnsi="Times New Roman" w:cs="Times New Roman"/>
          <w:sz w:val="24"/>
          <w:szCs w:val="24"/>
        </w:rPr>
        <w:t>wielospektralnych</w:t>
      </w:r>
      <w:proofErr w:type="spellEnd"/>
      <w:r>
        <w:rPr>
          <w:rFonts w:ascii="Times New Roman" w:eastAsia="Times New Roman" w:hAnsi="Times New Roman" w:cs="Times New Roman"/>
          <w:sz w:val="24"/>
          <w:szCs w:val="24"/>
        </w:rPr>
        <w:t xml:space="preserve"> zobrazowaniach satelitarnych misji Sentinel-2. W tym celu zastosowano uczenie maszynowe za pomocą </w:t>
      </w:r>
      <w:proofErr w:type="spellStart"/>
      <w:r>
        <w:rPr>
          <w:rFonts w:ascii="Times New Roman" w:eastAsia="Times New Roman" w:hAnsi="Times New Roman" w:cs="Times New Roman"/>
          <w:sz w:val="24"/>
          <w:szCs w:val="24"/>
        </w:rPr>
        <w:t>konwolucyjnej</w:t>
      </w:r>
      <w:proofErr w:type="spellEnd"/>
      <w:r>
        <w:rPr>
          <w:rFonts w:ascii="Times New Roman" w:eastAsia="Times New Roman" w:hAnsi="Times New Roman" w:cs="Times New Roman"/>
          <w:sz w:val="24"/>
          <w:szCs w:val="24"/>
        </w:rPr>
        <w:t xml:space="preserve"> sieci neuronowej. Rozwiązanie to zestawiono następnie z podejściem opartym na progowaniu adaptacyjnym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aby zweryfikować zysk wydajnościowy wynikający z użycia głębokich sieci neuronowych w zadaniach teledetekcyjnych. Projekt obejmował pobranie danych satelitarnych, ich wstępną obróbkę i przygotowanie zestawu treningowego, oraz optymalizację wag i ewaluację metryk.</w:t>
      </w:r>
    </w:p>
    <w:p w14:paraId="294F711E"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Fizyczną podstawą teledetekcyjnej detekcji wody jest jej unikalna krzywa odbicia spektralnego. Czysta woda wykazuje zauważalną </w:t>
      </w:r>
      <w:proofErr w:type="spellStart"/>
      <w:r>
        <w:rPr>
          <w:rFonts w:ascii="Times New Roman" w:eastAsia="Times New Roman" w:hAnsi="Times New Roman" w:cs="Times New Roman"/>
          <w:sz w:val="24"/>
          <w:szCs w:val="24"/>
        </w:rPr>
        <w:t>reflektancję</w:t>
      </w:r>
      <w:proofErr w:type="spellEnd"/>
      <w:r>
        <w:rPr>
          <w:rFonts w:ascii="Times New Roman" w:eastAsia="Times New Roman" w:hAnsi="Times New Roman" w:cs="Times New Roman"/>
          <w:sz w:val="24"/>
          <w:szCs w:val="24"/>
        </w:rPr>
        <w:t xml:space="preserve"> w zakresie widzialnym, ze szczytem w paśmie zielonym, po czym gwałtownie absorbuje promieniowanie w pasmach bliskiej i krótkofalowej podczerwieni. Zjawisko to ostro kontrastuje z charakterystyką roślin oraz gleby, które w podczerwieni cechują się silnym odbiciem. Choć właściwość ta umożliwia konstrukcję prostych indeksów spektralnych, klasyczne podejścia progowe zawodzą w strefach przybrzeżnych, na obszarach płytkich o wysokim zmętnieniu mineralnym, w obecności podwodnej roślinności oraz w rejonach zacienionych przez chmury lub struktury terenowe. Architektura głębokiej sieci U-Net rozwiązuje ten problem, łącząc informację o </w:t>
      </w:r>
      <w:proofErr w:type="spellStart"/>
      <w:r>
        <w:rPr>
          <w:rFonts w:ascii="Times New Roman" w:eastAsia="Times New Roman" w:hAnsi="Times New Roman" w:cs="Times New Roman"/>
          <w:sz w:val="24"/>
          <w:szCs w:val="24"/>
        </w:rPr>
        <w:t>wielospektralnej</w:t>
      </w:r>
      <w:proofErr w:type="spellEnd"/>
      <w:r>
        <w:rPr>
          <w:rFonts w:ascii="Times New Roman" w:eastAsia="Times New Roman" w:hAnsi="Times New Roman" w:cs="Times New Roman"/>
          <w:sz w:val="24"/>
          <w:szCs w:val="24"/>
        </w:rPr>
        <w:t xml:space="preserve"> sygnaturze radiometrycznej piksela ze strukturalnym kontekstem przestrzennym jego otoczenia. </w:t>
      </w:r>
    </w:p>
    <w:p w14:paraId="67B358EC" w14:textId="77777777" w:rsidR="00AF077C" w:rsidRDefault="00000000">
      <w:pPr>
        <w:pStyle w:val="Heading2"/>
        <w:numPr>
          <w:ilvl w:val="0"/>
          <w:numId w:val="1"/>
        </w:numPr>
        <w:rPr>
          <w:rFonts w:ascii="Times New Roman" w:eastAsia="Times New Roman" w:hAnsi="Times New Roman" w:cs="Times New Roman"/>
        </w:rPr>
      </w:pPr>
      <w:bookmarkStart w:id="2" w:name="_g7la9g8yn7rc" w:colFirst="0" w:colLast="0"/>
      <w:bookmarkEnd w:id="2"/>
      <w:r>
        <w:rPr>
          <w:rFonts w:ascii="Times New Roman" w:eastAsia="Times New Roman" w:hAnsi="Times New Roman" w:cs="Times New Roman"/>
        </w:rPr>
        <w:t>METODYKA BADAWCZA I PRZETWARZANIE DANYCH</w:t>
      </w:r>
    </w:p>
    <w:p w14:paraId="66674B72"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Dane wykorzystane w projekcie pochodzą z misji satelitarnej Sentinel-2, udostępniającej zobrazowania powierzchni ziemi zdefiniowane jako poziom L2A dla okna czasowego od 1 czerwca do 1 września 2023 roku, nakładając warunek zachmurzenia poniżej </w:t>
      </w:r>
      <w:r>
        <w:rPr>
          <w:rFonts w:ascii="Times New Roman" w:eastAsia="Times New Roman" w:hAnsi="Times New Roman" w:cs="Times New Roman"/>
          <w:sz w:val="24"/>
          <w:szCs w:val="24"/>
        </w:rPr>
        <w:lastRenderedPageBreak/>
        <w:t xml:space="preserve">5% w obrębie wschodniej części Zalewu Szczecińskiego. Proces pozyskiwania zautomatyzowano przy wykorzystaniu funkcjonalności API platformy </w:t>
      </w:r>
      <w:proofErr w:type="spellStart"/>
      <w:r>
        <w:rPr>
          <w:rFonts w:ascii="Times New Roman" w:eastAsia="Times New Roman" w:hAnsi="Times New Roman" w:cs="Times New Roman"/>
          <w:sz w:val="24"/>
          <w:szCs w:val="24"/>
        </w:rPr>
        <w:t>Planetary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Computer</w:t>
      </w:r>
      <w:proofErr w:type="spellEnd"/>
      <w:r>
        <w:rPr>
          <w:rFonts w:ascii="Times New Roman" w:eastAsia="Times New Roman" w:hAnsi="Times New Roman" w:cs="Times New Roman"/>
          <w:sz w:val="24"/>
          <w:szCs w:val="24"/>
        </w:rPr>
        <w:t xml:space="preserve">. Wykorzystana do analizy scena satelitarna nosi identyfikator S2B_MSIL2A_20230610T101609_R065_T33UVV_20240909T065358. Z całego zobrazowania wyodrębniono wycinek przestrzenny o wymiarach 2239 </w:t>
      </w:r>
      <w:proofErr w:type="spellStart"/>
      <w:r>
        <w:rPr>
          <w:rFonts w:ascii="Times New Roman" w:eastAsia="Times New Roman" w:hAnsi="Times New Roman" w:cs="Times New Roman"/>
          <w:sz w:val="24"/>
          <w:szCs w:val="24"/>
        </w:rPr>
        <w:t>px</w:t>
      </w:r>
      <w:proofErr w:type="spellEnd"/>
      <w:r>
        <w:rPr>
          <w:rFonts w:ascii="Times New Roman" w:eastAsia="Times New Roman" w:hAnsi="Times New Roman" w:cs="Times New Roman"/>
          <w:sz w:val="24"/>
          <w:szCs w:val="24"/>
        </w:rPr>
        <w:t xml:space="preserve"> na 1994 </w:t>
      </w:r>
      <w:proofErr w:type="spellStart"/>
      <w:r>
        <w:rPr>
          <w:rFonts w:ascii="Times New Roman" w:eastAsia="Times New Roman" w:hAnsi="Times New Roman" w:cs="Times New Roman"/>
          <w:sz w:val="24"/>
          <w:szCs w:val="24"/>
        </w:rPr>
        <w:t>px</w:t>
      </w:r>
      <w:proofErr w:type="spellEnd"/>
      <w:r>
        <w:rPr>
          <w:rFonts w:ascii="Times New Roman" w:eastAsia="Times New Roman" w:hAnsi="Times New Roman" w:cs="Times New Roman"/>
          <w:sz w:val="24"/>
          <w:szCs w:val="24"/>
        </w:rPr>
        <w:t xml:space="preserve">, zachowując wyjściową rozdzielczość wynoszącą dziesięć metrów. </w:t>
      </w:r>
    </w:p>
    <w:p w14:paraId="23C63BF8" w14:textId="77777777" w:rsidR="00AF077C" w:rsidRDefault="00AF077C">
      <w:pPr>
        <w:spacing w:line="360" w:lineRule="auto"/>
        <w:ind w:firstLine="720"/>
        <w:jc w:val="both"/>
        <w:rPr>
          <w:rFonts w:ascii="Times New Roman" w:eastAsia="Times New Roman" w:hAnsi="Times New Roman" w:cs="Times New Roman"/>
          <w:sz w:val="24"/>
          <w:szCs w:val="24"/>
        </w:rPr>
      </w:pPr>
    </w:p>
    <w:p w14:paraId="06F74D9F"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 nowszych produktach Sentinel-2 L2A wprowadzono stały offset radiometryczny +1000 DN w celu uniknięcia ujemnych wartości odbicia po korekcji atmosferycznej Sen2Cor. Przeliczenie wartości cyfrowych na bezwymiarową wielkość współczynnika odbicia BOA (</w:t>
      </w:r>
      <m:oMath>
        <m:r>
          <w:rPr>
            <w:rFonts w:ascii="Cambria Math" w:hAnsi="Cambria Math"/>
          </w:rPr>
          <m:t>ρ</m:t>
        </m:r>
      </m:oMath>
      <w:r>
        <w:rPr>
          <w:rFonts w:ascii="Times New Roman" w:eastAsia="Times New Roman" w:hAnsi="Times New Roman" w:cs="Times New Roman"/>
          <w:sz w:val="24"/>
          <w:szCs w:val="24"/>
        </w:rPr>
        <w:t xml:space="preserve">) opisuje zależność: </w:t>
      </w:r>
    </w:p>
    <w:p w14:paraId="58698CE6" w14:textId="77777777" w:rsidR="00AF077C" w:rsidRDefault="00000000">
      <w:pPr>
        <w:spacing w:line="360" w:lineRule="auto"/>
        <w:jc w:val="center"/>
        <w:rPr>
          <w:rFonts w:ascii="Times New Roman" w:eastAsia="Times New Roman" w:hAnsi="Times New Roman" w:cs="Times New Roman"/>
          <w:sz w:val="24"/>
          <w:szCs w:val="24"/>
        </w:rPr>
      </w:pPr>
      <m:oMath>
        <m:r>
          <w:rPr>
            <w:rFonts w:ascii="Cambria Math" w:hAnsi="Cambria Math"/>
          </w:rPr>
          <m:t>ρ</m:t>
        </m:r>
      </m:oMath>
      <w:r>
        <w:rPr>
          <w:rFonts w:ascii="Times New Roman" w:eastAsia="Times New Roman" w:hAnsi="Times New Roman" w:cs="Times New Roman"/>
          <w:sz w:val="24"/>
          <w:szCs w:val="24"/>
        </w:rPr>
        <w:t xml:space="preserve"> = clip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DN - 1000</m:t>
            </m:r>
          </m:num>
          <m:den>
            <m:r>
              <w:rPr>
                <w:rFonts w:ascii="Times New Roman" w:eastAsia="Times New Roman" w:hAnsi="Times New Roman" w:cs="Times New Roman"/>
                <w:sz w:val="24"/>
                <w:szCs w:val="24"/>
              </w:rPr>
              <m:t>10000</m:t>
            </m:r>
          </m:den>
        </m:f>
      </m:oMath>
      <w:r>
        <w:rPr>
          <w:rFonts w:ascii="Times New Roman" w:eastAsia="Times New Roman" w:hAnsi="Times New Roman" w:cs="Times New Roman"/>
          <w:sz w:val="24"/>
          <w:szCs w:val="24"/>
        </w:rPr>
        <w:t>, 0.0, 1.0 )</w:t>
      </w:r>
    </w:p>
    <w:p w14:paraId="644F3FF9" w14:textId="77777777" w:rsidR="00AF077C" w:rsidRDefault="00AF077C">
      <w:pPr>
        <w:spacing w:line="360" w:lineRule="auto"/>
        <w:jc w:val="both"/>
        <w:rPr>
          <w:rFonts w:ascii="Times New Roman" w:eastAsia="Times New Roman" w:hAnsi="Times New Roman" w:cs="Times New Roman"/>
          <w:sz w:val="24"/>
          <w:szCs w:val="24"/>
        </w:rPr>
      </w:pPr>
    </w:p>
    <w:p w14:paraId="4F562D4A"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 budowy wejściowego tensora cech wybrano pięć pasm spektralnych oznaczonych jako B02, B03, B04, B08 oraz B11. Ze względu na zróżnicowaną rozdzielczość przestrzenną matryc w satelicie, pasmo B11 poddano </w:t>
      </w:r>
      <w:proofErr w:type="spellStart"/>
      <w:r>
        <w:rPr>
          <w:rFonts w:ascii="Times New Roman" w:eastAsia="Times New Roman" w:hAnsi="Times New Roman" w:cs="Times New Roman"/>
          <w:sz w:val="24"/>
          <w:szCs w:val="24"/>
        </w:rPr>
        <w:t>resamplingowi</w:t>
      </w:r>
      <w:proofErr w:type="spellEnd"/>
      <w:r>
        <w:rPr>
          <w:rFonts w:ascii="Times New Roman" w:eastAsia="Times New Roman" w:hAnsi="Times New Roman" w:cs="Times New Roman"/>
          <w:sz w:val="24"/>
          <w:szCs w:val="24"/>
        </w:rPr>
        <w:t xml:space="preserve"> z wykorzystaniem interpolacji dwuliniowej. Woda charakteryzuje się selektywną absorpcją promieniowania elektromagnetycznego. W paśmie widzialnym, zwłaszcza zielonym </w:t>
      </w:r>
      <m:oMath>
        <m:r>
          <w:rPr>
            <w:rFonts w:ascii="Times New Roman" w:eastAsia="Times New Roman" w:hAnsi="Times New Roman" w:cs="Times New Roman"/>
            <w:sz w:val="24"/>
            <w:szCs w:val="24"/>
          </w:rPr>
          <m:t>(B03</m:t>
        </m:r>
      </m:oMath>
      <w:r>
        <w:rPr>
          <w:rFonts w:ascii="Times New Roman" w:eastAsia="Times New Roman" w:hAnsi="Times New Roman" w:cs="Times New Roman"/>
          <w:sz w:val="24"/>
          <w:szCs w:val="24"/>
        </w:rPr>
        <w:t>, ok. 560 nm), woda wykazuje umiarkowane odbicie, natomiast w bliskiej podczerwieni (</w:t>
      </w:r>
      <m:oMath>
        <m:r>
          <w:rPr>
            <w:rFonts w:ascii="Times New Roman" w:eastAsia="Times New Roman" w:hAnsi="Times New Roman" w:cs="Times New Roman"/>
            <w:sz w:val="24"/>
            <w:szCs w:val="24"/>
          </w:rPr>
          <m:t>B08</m:t>
        </m:r>
      </m:oMath>
      <w:r>
        <w:rPr>
          <w:rFonts w:ascii="Times New Roman" w:eastAsia="Times New Roman" w:hAnsi="Times New Roman" w:cs="Times New Roman"/>
          <w:sz w:val="24"/>
          <w:szCs w:val="24"/>
        </w:rPr>
        <w:t>, ok. 842 nm) oraz krótkofalowej podczerwieni (</w:t>
      </w:r>
      <m:oMath>
        <m:r>
          <w:rPr>
            <w:rFonts w:ascii="Times New Roman" w:eastAsia="Times New Roman" w:hAnsi="Times New Roman" w:cs="Times New Roman"/>
            <w:sz w:val="24"/>
            <w:szCs w:val="24"/>
          </w:rPr>
          <m:t>B11</m:t>
        </m:r>
      </m:oMath>
      <w:r>
        <w:rPr>
          <w:rFonts w:ascii="Times New Roman" w:eastAsia="Times New Roman" w:hAnsi="Times New Roman" w:cs="Times New Roman"/>
          <w:sz w:val="24"/>
          <w:szCs w:val="24"/>
        </w:rPr>
        <w:t xml:space="preserve">, ok. 1610 nm) absorpcja jest niemal całkowita. Zjawisko to odróżnia ją od roślinności i gleby, które w podczerwieni odbijają silnie. </w:t>
      </w:r>
    </w:p>
    <w:p w14:paraId="3814570F"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Znormalizowany różnicowy wskaźnik wody </w:t>
      </w:r>
      <w:proofErr w:type="spellStart"/>
      <w:r>
        <w:rPr>
          <w:rFonts w:ascii="Times New Roman" w:eastAsia="Times New Roman" w:hAnsi="Times New Roman" w:cs="Times New Roman"/>
          <w:sz w:val="24"/>
          <w:szCs w:val="24"/>
        </w:rPr>
        <w:t>McFeetersa</w:t>
      </w:r>
      <w:proofErr w:type="spellEnd"/>
      <w:r>
        <w:rPr>
          <w:rFonts w:ascii="Times New Roman" w:eastAsia="Times New Roman" w:hAnsi="Times New Roman" w:cs="Times New Roman"/>
          <w:sz w:val="24"/>
          <w:szCs w:val="24"/>
        </w:rPr>
        <w:t xml:space="preserve"> definiuje zależność opartą na kontraście pasma zielonego i bliskiej podczerwieni według wzoru: </w:t>
      </w:r>
    </w:p>
    <w:p w14:paraId="7F5CB8DB" w14:textId="77777777" w:rsidR="00AF077C" w:rsidRDefault="00AF077C">
      <w:pPr>
        <w:spacing w:line="360" w:lineRule="auto"/>
        <w:jc w:val="both"/>
        <w:rPr>
          <w:rFonts w:ascii="Times New Roman" w:eastAsia="Times New Roman" w:hAnsi="Times New Roman" w:cs="Times New Roman"/>
          <w:sz w:val="24"/>
          <w:szCs w:val="24"/>
        </w:rPr>
      </w:pPr>
    </w:p>
    <w:p w14:paraId="232CA4AB" w14:textId="77777777" w:rsidR="00AF077C"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NDWI = </w:t>
      </w:r>
      <m:oMath>
        <m:f>
          <m:fPr>
            <m:ctrlPr>
              <w:rPr>
                <w:rFonts w:ascii="Times New Roman" w:eastAsia="Times New Roman" w:hAnsi="Times New Roman" w:cs="Times New Roman"/>
                <w:sz w:val="24"/>
                <w:szCs w:val="24"/>
              </w:rPr>
            </m:ctrlPr>
          </m:fPr>
          <m:num>
            <m:sSub>
              <m:sSubPr>
                <m:ctrlPr>
                  <w:rPr>
                    <w:rFonts w:ascii="Times New Roman" w:eastAsia="Times New Roman" w:hAnsi="Times New Roman" w:cs="Times New Roman"/>
                    <w:sz w:val="24"/>
                    <w:szCs w:val="24"/>
                  </w:rPr>
                </m:ctrlPr>
              </m:sSubPr>
              <m:e>
                <m:r>
                  <w:rPr>
                    <w:rFonts w:ascii="Cambria Math" w:hAnsi="Cambria Math"/>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NIR</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NIR</m:t>
                </m:r>
              </m:sub>
            </m:sSub>
            <m:r>
              <w:rPr>
                <w:rFonts w:ascii="Times New Roman" w:eastAsia="Times New Roman" w:hAnsi="Times New Roman" w:cs="Times New Roman"/>
                <w:sz w:val="24"/>
                <w:szCs w:val="24"/>
              </w:rPr>
              <m:t xml:space="preserve"> + ϵ</m:t>
            </m:r>
          </m:den>
        </m:f>
      </m:oMath>
      <w:r>
        <w:rPr>
          <w:rFonts w:ascii="Times New Roman" w:eastAsia="Times New Roman" w:hAnsi="Times New Roman" w:cs="Times New Roman"/>
          <w:sz w:val="24"/>
          <w:szCs w:val="24"/>
        </w:rPr>
        <w:t xml:space="preserve">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B03 - B08</m:t>
            </m:r>
          </m:num>
          <m:den>
            <m:r>
              <w:rPr>
                <w:rFonts w:ascii="Times New Roman" w:eastAsia="Times New Roman" w:hAnsi="Times New Roman" w:cs="Times New Roman"/>
                <w:sz w:val="24"/>
                <w:szCs w:val="24"/>
              </w:rPr>
              <m:t xml:space="preserve">B03 + B08 + </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-7</m:t>
                </m:r>
              </m:sup>
            </m:sSup>
          </m:den>
        </m:f>
      </m:oMath>
    </w:p>
    <w:p w14:paraId="02B5F863" w14:textId="77777777" w:rsidR="00AF077C" w:rsidRDefault="00AF077C">
      <w:pPr>
        <w:spacing w:line="360" w:lineRule="auto"/>
        <w:jc w:val="both"/>
        <w:rPr>
          <w:rFonts w:ascii="Times New Roman" w:eastAsia="Times New Roman" w:hAnsi="Times New Roman" w:cs="Times New Roman"/>
          <w:sz w:val="24"/>
          <w:szCs w:val="24"/>
        </w:rPr>
      </w:pPr>
    </w:p>
    <w:p w14:paraId="1A068D4A"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Zmodyfikowany wskaźnik </w:t>
      </w:r>
      <w:proofErr w:type="spellStart"/>
      <w:r>
        <w:rPr>
          <w:rFonts w:ascii="Times New Roman" w:eastAsia="Times New Roman" w:hAnsi="Times New Roman" w:cs="Times New Roman"/>
          <w:sz w:val="24"/>
          <w:szCs w:val="24"/>
        </w:rPr>
        <w:t>Xu</w:t>
      </w:r>
      <w:proofErr w:type="spellEnd"/>
      <w:r>
        <w:rPr>
          <w:rFonts w:ascii="Times New Roman" w:eastAsia="Times New Roman" w:hAnsi="Times New Roman" w:cs="Times New Roman"/>
          <w:sz w:val="24"/>
          <w:szCs w:val="24"/>
        </w:rPr>
        <w:t xml:space="preserve"> zastępuje pasmo bliskiej podczerwieni pasmem SWIR, co eliminuje fałszywe detekcje na obszarach zabudowanych i glebach o podwyższonej wilgotności: </w:t>
      </w:r>
    </w:p>
    <w:p w14:paraId="08670084" w14:textId="77777777" w:rsidR="00AF077C"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MNDWI = </w:t>
      </w:r>
      <m:oMath>
        <m:f>
          <m:fPr>
            <m:ctrlPr>
              <w:rPr>
                <w:rFonts w:ascii="Times New Roman" w:eastAsia="Times New Roman" w:hAnsi="Times New Roman" w:cs="Times New Roman"/>
                <w:sz w:val="24"/>
                <w:szCs w:val="24"/>
              </w:rPr>
            </m:ctrlPr>
          </m:fPr>
          <m:num>
            <m:sSub>
              <m:sSubPr>
                <m:ctrlPr>
                  <w:rPr>
                    <w:rFonts w:ascii="Times New Roman" w:eastAsia="Times New Roman" w:hAnsi="Times New Roman" w:cs="Times New Roman"/>
                    <w:sz w:val="24"/>
                    <w:szCs w:val="24"/>
                  </w:rPr>
                </m:ctrlPr>
              </m:sSubPr>
              <m:e>
                <m:r>
                  <w:rPr>
                    <w:rFonts w:ascii="Cambria Math" w:hAnsi="Cambria Math"/>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SWIR</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SWIR</m:t>
                </m:r>
              </m:sub>
            </m:sSub>
            <m:r>
              <w:rPr>
                <w:rFonts w:ascii="Times New Roman" w:eastAsia="Times New Roman" w:hAnsi="Times New Roman" w:cs="Times New Roman"/>
                <w:sz w:val="24"/>
                <w:szCs w:val="24"/>
              </w:rPr>
              <m:t xml:space="preserve"> + ϵ</m:t>
            </m:r>
          </m:den>
        </m:f>
      </m:oMath>
      <w:r>
        <w:rPr>
          <w:rFonts w:ascii="Times New Roman" w:eastAsia="Times New Roman" w:hAnsi="Times New Roman" w:cs="Times New Roman"/>
          <w:sz w:val="24"/>
          <w:szCs w:val="24"/>
        </w:rPr>
        <w:t xml:space="preserve">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B03 - B11</m:t>
            </m:r>
          </m:num>
          <m:den>
            <m:r>
              <w:rPr>
                <w:rFonts w:ascii="Times New Roman" w:eastAsia="Times New Roman" w:hAnsi="Times New Roman" w:cs="Times New Roman"/>
                <w:sz w:val="24"/>
                <w:szCs w:val="24"/>
              </w:rPr>
              <m:t xml:space="preserve">B03 + B11 + </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-7</m:t>
                </m:r>
              </m:sup>
            </m:sSup>
          </m:den>
        </m:f>
      </m:oMath>
    </w:p>
    <w:p w14:paraId="728B8E02"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gdzie stała </w:t>
      </w:r>
      <m:oMath>
        <m:r>
          <w:rPr>
            <w:rFonts w:ascii="Cambria Math" w:hAnsi="Cambria Math"/>
          </w:rPr>
          <m:t>ϵ</m:t>
        </m:r>
        <m:r>
          <w:rPr>
            <w:rFonts w:ascii="Times New Roman" w:eastAsia="Times New Roman" w:hAnsi="Times New Roman" w:cs="Times New Roman"/>
            <w:sz w:val="24"/>
            <w:szCs w:val="24"/>
          </w:rPr>
          <m:t>=</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-7</m:t>
            </m:r>
          </m:sup>
        </m:sSup>
        <m: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 xml:space="preserve">chroni operacje przed dzieleniem przez zero w cieniach i obszarach o zerowej reflektancji. Zestawienie pasm i wskaźników dało 7-kanałowy tensor wejściowy o wymiarach (7, H, W), który został przedstawiony w Tabeli 1. </w:t>
      </w:r>
    </w:p>
    <w:p w14:paraId="6ED3DC8F" w14:textId="77777777" w:rsidR="00AF077C" w:rsidRDefault="00AF077C">
      <w:pPr>
        <w:spacing w:line="360" w:lineRule="auto"/>
        <w:jc w:val="both"/>
        <w:rPr>
          <w:rFonts w:ascii="Times New Roman" w:eastAsia="Times New Roman" w:hAnsi="Times New Roman" w:cs="Times New Roman"/>
          <w:sz w:val="24"/>
          <w:szCs w:val="24"/>
        </w:rPr>
      </w:pPr>
    </w:p>
    <w:p w14:paraId="50C14146"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0"/>
          <w:szCs w:val="20"/>
        </w:rPr>
        <w:t>Tabela 1. Struktura tensora wejściowego</w:t>
      </w:r>
    </w:p>
    <w:tbl>
      <w:tblPr>
        <w:tblStyle w:val="a"/>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2115"/>
        <w:gridCol w:w="2175"/>
        <w:gridCol w:w="3135"/>
      </w:tblGrid>
      <w:tr w:rsidR="00AF077C" w14:paraId="6E180169" w14:textId="77777777">
        <w:tc>
          <w:tcPr>
            <w:tcW w:w="1500" w:type="dxa"/>
            <w:tcMar>
              <w:top w:w="100" w:type="dxa"/>
              <w:left w:w="100" w:type="dxa"/>
              <w:bottom w:w="100" w:type="dxa"/>
              <w:right w:w="100" w:type="dxa"/>
            </w:tcMar>
          </w:tcPr>
          <w:p w14:paraId="20F206D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Indeks kanału</w:t>
            </w:r>
          </w:p>
        </w:tc>
        <w:tc>
          <w:tcPr>
            <w:tcW w:w="2115" w:type="dxa"/>
            <w:tcMar>
              <w:top w:w="100" w:type="dxa"/>
              <w:left w:w="100" w:type="dxa"/>
              <w:bottom w:w="100" w:type="dxa"/>
              <w:right w:w="100" w:type="dxa"/>
            </w:tcMar>
          </w:tcPr>
          <w:p w14:paraId="7FFDACA9"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Oznaczenie pasma</w:t>
            </w:r>
          </w:p>
        </w:tc>
        <w:tc>
          <w:tcPr>
            <w:tcW w:w="2175" w:type="dxa"/>
            <w:tcMar>
              <w:top w:w="100" w:type="dxa"/>
              <w:left w:w="100" w:type="dxa"/>
              <w:bottom w:w="100" w:type="dxa"/>
              <w:right w:w="100" w:type="dxa"/>
            </w:tcMar>
          </w:tcPr>
          <w:p w14:paraId="41D5DCEF"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Długość fali </w:t>
            </w:r>
            <m:oMath>
              <m:r>
                <w:rPr>
                  <w:rFonts w:ascii="Cambria Math" w:hAnsi="Cambria Math"/>
                </w:rPr>
                <m:t>λ</m:t>
              </m:r>
            </m:oMath>
            <w:r>
              <w:rPr>
                <w:rFonts w:ascii="Times New Roman" w:eastAsia="Times New Roman" w:hAnsi="Times New Roman" w:cs="Times New Roman"/>
                <w:sz w:val="24"/>
                <w:szCs w:val="24"/>
              </w:rPr>
              <w:t xml:space="preserve"> </w:t>
            </w:r>
          </w:p>
        </w:tc>
        <w:tc>
          <w:tcPr>
            <w:tcW w:w="3135" w:type="dxa"/>
            <w:tcMar>
              <w:top w:w="100" w:type="dxa"/>
              <w:left w:w="100" w:type="dxa"/>
              <w:bottom w:w="100" w:type="dxa"/>
              <w:right w:w="100" w:type="dxa"/>
            </w:tcMar>
          </w:tcPr>
          <w:p w14:paraId="44899B4F"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Rozdzielczość pierwotna</w:t>
            </w:r>
          </w:p>
        </w:tc>
      </w:tr>
      <w:tr w:rsidR="00AF077C" w14:paraId="3851B8A1" w14:textId="77777777">
        <w:tc>
          <w:tcPr>
            <w:tcW w:w="1500" w:type="dxa"/>
            <w:tcMar>
              <w:top w:w="100" w:type="dxa"/>
              <w:left w:w="100" w:type="dxa"/>
              <w:bottom w:w="100" w:type="dxa"/>
              <w:right w:w="100" w:type="dxa"/>
            </w:tcMar>
          </w:tcPr>
          <w:p w14:paraId="29FAFF93"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0</w:t>
            </w:r>
          </w:p>
        </w:tc>
        <w:tc>
          <w:tcPr>
            <w:tcW w:w="2115" w:type="dxa"/>
            <w:tcMar>
              <w:top w:w="100" w:type="dxa"/>
              <w:left w:w="100" w:type="dxa"/>
              <w:bottom w:w="100" w:type="dxa"/>
              <w:right w:w="100" w:type="dxa"/>
            </w:tcMar>
          </w:tcPr>
          <w:p w14:paraId="1D2B6992"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B02 - Blue</w:t>
            </w:r>
          </w:p>
        </w:tc>
        <w:tc>
          <w:tcPr>
            <w:tcW w:w="2175" w:type="dxa"/>
            <w:tcMar>
              <w:top w:w="100" w:type="dxa"/>
              <w:left w:w="100" w:type="dxa"/>
              <w:bottom w:w="100" w:type="dxa"/>
              <w:right w:w="100" w:type="dxa"/>
            </w:tcMar>
          </w:tcPr>
          <w:p w14:paraId="257DBE3D"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490 </w:t>
            </w:r>
            <w:proofErr w:type="spellStart"/>
            <w:r>
              <w:rPr>
                <w:rFonts w:ascii="Times New Roman" w:eastAsia="Times New Roman" w:hAnsi="Times New Roman" w:cs="Times New Roman"/>
                <w:sz w:val="24"/>
                <w:szCs w:val="24"/>
              </w:rPr>
              <w:t>nm</w:t>
            </w:r>
            <w:proofErr w:type="spellEnd"/>
          </w:p>
        </w:tc>
        <w:tc>
          <w:tcPr>
            <w:tcW w:w="3135" w:type="dxa"/>
            <w:tcMar>
              <w:top w:w="100" w:type="dxa"/>
              <w:left w:w="100" w:type="dxa"/>
              <w:bottom w:w="100" w:type="dxa"/>
              <w:right w:w="100" w:type="dxa"/>
            </w:tcMar>
          </w:tcPr>
          <w:p w14:paraId="63F7E67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185BAF64" w14:textId="77777777">
        <w:tc>
          <w:tcPr>
            <w:tcW w:w="1500" w:type="dxa"/>
            <w:tcMar>
              <w:top w:w="100" w:type="dxa"/>
              <w:left w:w="100" w:type="dxa"/>
              <w:bottom w:w="100" w:type="dxa"/>
              <w:right w:w="100" w:type="dxa"/>
            </w:tcMar>
          </w:tcPr>
          <w:p w14:paraId="3224B7F4"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1</w:t>
            </w:r>
          </w:p>
        </w:tc>
        <w:tc>
          <w:tcPr>
            <w:tcW w:w="2115" w:type="dxa"/>
            <w:tcMar>
              <w:top w:w="100" w:type="dxa"/>
              <w:left w:w="100" w:type="dxa"/>
              <w:bottom w:w="100" w:type="dxa"/>
              <w:right w:w="100" w:type="dxa"/>
            </w:tcMar>
          </w:tcPr>
          <w:p w14:paraId="45B1DFB6"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B03 - Green</w:t>
            </w:r>
          </w:p>
        </w:tc>
        <w:tc>
          <w:tcPr>
            <w:tcW w:w="2175" w:type="dxa"/>
            <w:tcMar>
              <w:top w:w="100" w:type="dxa"/>
              <w:left w:w="100" w:type="dxa"/>
              <w:bottom w:w="100" w:type="dxa"/>
              <w:right w:w="100" w:type="dxa"/>
            </w:tcMar>
          </w:tcPr>
          <w:p w14:paraId="53E01B50"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560 </w:t>
            </w:r>
            <w:proofErr w:type="spellStart"/>
            <w:r>
              <w:rPr>
                <w:rFonts w:ascii="Times New Roman" w:eastAsia="Times New Roman" w:hAnsi="Times New Roman" w:cs="Times New Roman"/>
                <w:sz w:val="24"/>
                <w:szCs w:val="24"/>
              </w:rPr>
              <w:t>nm</w:t>
            </w:r>
            <w:proofErr w:type="spellEnd"/>
          </w:p>
        </w:tc>
        <w:tc>
          <w:tcPr>
            <w:tcW w:w="3135" w:type="dxa"/>
            <w:tcMar>
              <w:top w:w="100" w:type="dxa"/>
              <w:left w:w="100" w:type="dxa"/>
              <w:bottom w:w="100" w:type="dxa"/>
              <w:right w:w="100" w:type="dxa"/>
            </w:tcMar>
          </w:tcPr>
          <w:p w14:paraId="5784AFDE"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355DC059" w14:textId="77777777">
        <w:tc>
          <w:tcPr>
            <w:tcW w:w="1500" w:type="dxa"/>
            <w:tcMar>
              <w:top w:w="100" w:type="dxa"/>
              <w:left w:w="100" w:type="dxa"/>
              <w:bottom w:w="100" w:type="dxa"/>
              <w:right w:w="100" w:type="dxa"/>
            </w:tcMar>
          </w:tcPr>
          <w:p w14:paraId="10645DB5"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2</w:t>
            </w:r>
          </w:p>
        </w:tc>
        <w:tc>
          <w:tcPr>
            <w:tcW w:w="2115" w:type="dxa"/>
            <w:tcMar>
              <w:top w:w="100" w:type="dxa"/>
              <w:left w:w="100" w:type="dxa"/>
              <w:bottom w:w="100" w:type="dxa"/>
              <w:right w:w="100" w:type="dxa"/>
            </w:tcMar>
          </w:tcPr>
          <w:p w14:paraId="756B9C14"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B04 - Red</w:t>
            </w:r>
          </w:p>
        </w:tc>
        <w:tc>
          <w:tcPr>
            <w:tcW w:w="2175" w:type="dxa"/>
            <w:tcMar>
              <w:top w:w="100" w:type="dxa"/>
              <w:left w:w="100" w:type="dxa"/>
              <w:bottom w:w="100" w:type="dxa"/>
              <w:right w:w="100" w:type="dxa"/>
            </w:tcMar>
          </w:tcPr>
          <w:p w14:paraId="3C4F955D"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665 </w:t>
            </w:r>
            <w:proofErr w:type="spellStart"/>
            <w:r>
              <w:rPr>
                <w:rFonts w:ascii="Times New Roman" w:eastAsia="Times New Roman" w:hAnsi="Times New Roman" w:cs="Times New Roman"/>
                <w:sz w:val="24"/>
                <w:szCs w:val="24"/>
              </w:rPr>
              <w:t>nm</w:t>
            </w:r>
            <w:proofErr w:type="spellEnd"/>
          </w:p>
        </w:tc>
        <w:tc>
          <w:tcPr>
            <w:tcW w:w="3135" w:type="dxa"/>
            <w:tcMar>
              <w:top w:w="100" w:type="dxa"/>
              <w:left w:w="100" w:type="dxa"/>
              <w:bottom w:w="100" w:type="dxa"/>
              <w:right w:w="100" w:type="dxa"/>
            </w:tcMar>
          </w:tcPr>
          <w:p w14:paraId="5421F26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575301EF" w14:textId="77777777">
        <w:tc>
          <w:tcPr>
            <w:tcW w:w="1500" w:type="dxa"/>
            <w:tcMar>
              <w:top w:w="100" w:type="dxa"/>
              <w:left w:w="100" w:type="dxa"/>
              <w:bottom w:w="100" w:type="dxa"/>
              <w:right w:w="100" w:type="dxa"/>
            </w:tcMar>
          </w:tcPr>
          <w:p w14:paraId="68A8E920"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3</w:t>
            </w:r>
          </w:p>
        </w:tc>
        <w:tc>
          <w:tcPr>
            <w:tcW w:w="2115" w:type="dxa"/>
            <w:tcMar>
              <w:top w:w="100" w:type="dxa"/>
              <w:left w:w="100" w:type="dxa"/>
              <w:bottom w:w="100" w:type="dxa"/>
              <w:right w:w="100" w:type="dxa"/>
            </w:tcMar>
          </w:tcPr>
          <w:p w14:paraId="330465D0"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B08 - NIR</w:t>
            </w:r>
          </w:p>
        </w:tc>
        <w:tc>
          <w:tcPr>
            <w:tcW w:w="2175" w:type="dxa"/>
            <w:tcMar>
              <w:top w:w="100" w:type="dxa"/>
              <w:left w:w="100" w:type="dxa"/>
              <w:bottom w:w="100" w:type="dxa"/>
              <w:right w:w="100" w:type="dxa"/>
            </w:tcMar>
          </w:tcPr>
          <w:p w14:paraId="4AC2B9B3"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842 </w:t>
            </w:r>
            <w:proofErr w:type="spellStart"/>
            <w:r>
              <w:rPr>
                <w:rFonts w:ascii="Times New Roman" w:eastAsia="Times New Roman" w:hAnsi="Times New Roman" w:cs="Times New Roman"/>
                <w:sz w:val="24"/>
                <w:szCs w:val="24"/>
              </w:rPr>
              <w:t>nm</w:t>
            </w:r>
            <w:proofErr w:type="spellEnd"/>
          </w:p>
        </w:tc>
        <w:tc>
          <w:tcPr>
            <w:tcW w:w="3135" w:type="dxa"/>
            <w:tcMar>
              <w:top w:w="100" w:type="dxa"/>
              <w:left w:w="100" w:type="dxa"/>
              <w:bottom w:w="100" w:type="dxa"/>
              <w:right w:w="100" w:type="dxa"/>
            </w:tcMar>
          </w:tcPr>
          <w:p w14:paraId="2B5AD967"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2B64A579" w14:textId="77777777">
        <w:tc>
          <w:tcPr>
            <w:tcW w:w="1500" w:type="dxa"/>
            <w:tcMar>
              <w:top w:w="100" w:type="dxa"/>
              <w:left w:w="100" w:type="dxa"/>
              <w:bottom w:w="100" w:type="dxa"/>
              <w:right w:w="100" w:type="dxa"/>
            </w:tcMar>
          </w:tcPr>
          <w:p w14:paraId="267E0C89"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4</w:t>
            </w:r>
          </w:p>
        </w:tc>
        <w:tc>
          <w:tcPr>
            <w:tcW w:w="2115" w:type="dxa"/>
            <w:tcMar>
              <w:top w:w="100" w:type="dxa"/>
              <w:left w:w="100" w:type="dxa"/>
              <w:bottom w:w="100" w:type="dxa"/>
              <w:right w:w="100" w:type="dxa"/>
            </w:tcMar>
          </w:tcPr>
          <w:p w14:paraId="4CB3AE06"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B11 - SWIR</w:t>
            </w:r>
          </w:p>
        </w:tc>
        <w:tc>
          <w:tcPr>
            <w:tcW w:w="2175" w:type="dxa"/>
            <w:tcMar>
              <w:top w:w="100" w:type="dxa"/>
              <w:left w:w="100" w:type="dxa"/>
              <w:bottom w:w="100" w:type="dxa"/>
              <w:right w:w="100" w:type="dxa"/>
            </w:tcMar>
          </w:tcPr>
          <w:p w14:paraId="2427F63F"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1610 </w:t>
            </w:r>
            <w:proofErr w:type="spellStart"/>
            <w:r>
              <w:rPr>
                <w:rFonts w:ascii="Times New Roman" w:eastAsia="Times New Roman" w:hAnsi="Times New Roman" w:cs="Times New Roman"/>
                <w:sz w:val="24"/>
                <w:szCs w:val="24"/>
              </w:rPr>
              <w:t>nm</w:t>
            </w:r>
            <w:proofErr w:type="spellEnd"/>
          </w:p>
        </w:tc>
        <w:tc>
          <w:tcPr>
            <w:tcW w:w="3135" w:type="dxa"/>
            <w:tcMar>
              <w:top w:w="100" w:type="dxa"/>
              <w:left w:w="100" w:type="dxa"/>
              <w:bottom w:w="100" w:type="dxa"/>
              <w:right w:w="100" w:type="dxa"/>
            </w:tcMar>
          </w:tcPr>
          <w:p w14:paraId="2C1E8F1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 m</w:t>
            </w:r>
          </w:p>
        </w:tc>
      </w:tr>
      <w:tr w:rsidR="00AF077C" w14:paraId="56D1ED96" w14:textId="77777777">
        <w:tc>
          <w:tcPr>
            <w:tcW w:w="1500" w:type="dxa"/>
            <w:tcMar>
              <w:top w:w="100" w:type="dxa"/>
              <w:left w:w="100" w:type="dxa"/>
              <w:bottom w:w="100" w:type="dxa"/>
              <w:right w:w="100" w:type="dxa"/>
            </w:tcMar>
          </w:tcPr>
          <w:p w14:paraId="4F2CE24E"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5</w:t>
            </w:r>
          </w:p>
        </w:tc>
        <w:tc>
          <w:tcPr>
            <w:tcW w:w="2115" w:type="dxa"/>
            <w:tcMar>
              <w:top w:w="100" w:type="dxa"/>
              <w:left w:w="100" w:type="dxa"/>
              <w:bottom w:w="100" w:type="dxa"/>
              <w:right w:w="100" w:type="dxa"/>
            </w:tcMar>
          </w:tcPr>
          <w:p w14:paraId="07F2B1E4"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NDWI</w:t>
            </w:r>
          </w:p>
        </w:tc>
        <w:tc>
          <w:tcPr>
            <w:tcW w:w="2175" w:type="dxa"/>
            <w:tcMar>
              <w:top w:w="100" w:type="dxa"/>
              <w:left w:w="100" w:type="dxa"/>
              <w:bottom w:w="100" w:type="dxa"/>
              <w:right w:w="100" w:type="dxa"/>
            </w:tcMar>
          </w:tcPr>
          <w:p w14:paraId="049F2C5B"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135" w:type="dxa"/>
            <w:tcMar>
              <w:top w:w="100" w:type="dxa"/>
              <w:left w:w="100" w:type="dxa"/>
              <w:bottom w:w="100" w:type="dxa"/>
              <w:right w:w="100" w:type="dxa"/>
            </w:tcMar>
          </w:tcPr>
          <w:p w14:paraId="69755F32"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Wyliczany z 10 m</w:t>
            </w:r>
          </w:p>
        </w:tc>
      </w:tr>
      <w:tr w:rsidR="00AF077C" w14:paraId="193741BB" w14:textId="77777777">
        <w:tc>
          <w:tcPr>
            <w:tcW w:w="1500" w:type="dxa"/>
            <w:tcMar>
              <w:top w:w="100" w:type="dxa"/>
              <w:left w:w="100" w:type="dxa"/>
              <w:bottom w:w="100" w:type="dxa"/>
              <w:right w:w="100" w:type="dxa"/>
            </w:tcMar>
          </w:tcPr>
          <w:p w14:paraId="4E9466F6"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6</w:t>
            </w:r>
          </w:p>
        </w:tc>
        <w:tc>
          <w:tcPr>
            <w:tcW w:w="2115" w:type="dxa"/>
            <w:tcMar>
              <w:top w:w="100" w:type="dxa"/>
              <w:left w:w="100" w:type="dxa"/>
              <w:bottom w:w="100" w:type="dxa"/>
              <w:right w:w="100" w:type="dxa"/>
            </w:tcMar>
          </w:tcPr>
          <w:p w14:paraId="2E3ED28B"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MNDWI</w:t>
            </w:r>
          </w:p>
        </w:tc>
        <w:tc>
          <w:tcPr>
            <w:tcW w:w="2175" w:type="dxa"/>
            <w:tcMar>
              <w:top w:w="100" w:type="dxa"/>
              <w:left w:w="100" w:type="dxa"/>
              <w:bottom w:w="100" w:type="dxa"/>
              <w:right w:w="100" w:type="dxa"/>
            </w:tcMar>
          </w:tcPr>
          <w:p w14:paraId="3B1FFCE8"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135" w:type="dxa"/>
            <w:tcMar>
              <w:top w:w="100" w:type="dxa"/>
              <w:left w:w="100" w:type="dxa"/>
              <w:bottom w:w="100" w:type="dxa"/>
              <w:right w:w="100" w:type="dxa"/>
            </w:tcMar>
          </w:tcPr>
          <w:p w14:paraId="55362506"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Wyliczany z 10/20 m</w:t>
            </w:r>
          </w:p>
        </w:tc>
      </w:tr>
    </w:tbl>
    <w:p w14:paraId="77E161A5" w14:textId="77777777" w:rsidR="00AF077C" w:rsidRDefault="00AF077C">
      <w:pPr>
        <w:spacing w:line="360" w:lineRule="auto"/>
        <w:jc w:val="both"/>
        <w:rPr>
          <w:rFonts w:ascii="Times New Roman" w:eastAsia="Times New Roman" w:hAnsi="Times New Roman" w:cs="Times New Roman"/>
          <w:sz w:val="24"/>
          <w:szCs w:val="24"/>
        </w:rPr>
      </w:pPr>
    </w:p>
    <w:p w14:paraId="1C6BF86C" w14:textId="77777777" w:rsidR="00AF077C" w:rsidRDefault="00000000">
      <w:pPr>
        <w:pStyle w:val="Heading2"/>
        <w:numPr>
          <w:ilvl w:val="0"/>
          <w:numId w:val="1"/>
        </w:numPr>
        <w:jc w:val="both"/>
        <w:rPr>
          <w:rFonts w:ascii="Times New Roman" w:eastAsia="Times New Roman" w:hAnsi="Times New Roman" w:cs="Times New Roman"/>
        </w:rPr>
      </w:pPr>
      <w:bookmarkStart w:id="3" w:name="_6ki2ihexb5yt" w:colFirst="0" w:colLast="0"/>
      <w:bookmarkEnd w:id="3"/>
      <w:r>
        <w:rPr>
          <w:rFonts w:ascii="Times New Roman" w:eastAsia="Times New Roman" w:hAnsi="Times New Roman" w:cs="Times New Roman"/>
        </w:rPr>
        <w:t>PRZYGOTOWANIE ZBIORU DANYCH I MASEK REFERENCYJNYCH</w:t>
      </w:r>
    </w:p>
    <w:p w14:paraId="7525F5E9"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 wyliczenia funkcji straty wykorzystano systemową warstwę klasyfikacji sceny SCL (ang. </w:t>
      </w:r>
      <w:proofErr w:type="spellStart"/>
      <w:r>
        <w:rPr>
          <w:rFonts w:ascii="Times New Roman" w:eastAsia="Times New Roman" w:hAnsi="Times New Roman" w:cs="Times New Roman"/>
          <w:sz w:val="24"/>
          <w:szCs w:val="24"/>
        </w:rPr>
        <w:t>Scene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Classification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Layer</w:t>
      </w:r>
      <w:proofErr w:type="spellEnd"/>
      <w:r>
        <w:rPr>
          <w:rFonts w:ascii="Times New Roman" w:eastAsia="Times New Roman" w:hAnsi="Times New Roman" w:cs="Times New Roman"/>
          <w:sz w:val="24"/>
          <w:szCs w:val="24"/>
        </w:rPr>
        <w:t xml:space="preserve">) dostarczaną przez algorytm korekcji atmosferycznej Sen2Cor Europejskiej Agencji Kosmicznej. Za obszary wodne uznano wyłącznie piksele zaklasyfikowane do szóstej kategorii: </w:t>
      </w:r>
      <w:proofErr w:type="spellStart"/>
      <w:r>
        <w:rPr>
          <w:rFonts w:ascii="Times New Roman" w:eastAsia="Times New Roman" w:hAnsi="Times New Roman" w:cs="Times New Roman"/>
          <w:i/>
          <w:iCs/>
          <w:sz w:val="24"/>
          <w:szCs w:val="24"/>
        </w:rPr>
        <w:t>water_mask</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scl_data</w:t>
      </w:r>
      <w:proofErr w:type="spellEnd"/>
      <w:r>
        <w:rPr>
          <w:rFonts w:ascii="Times New Roman" w:eastAsia="Times New Roman" w:hAnsi="Times New Roman" w:cs="Times New Roman"/>
          <w:i/>
          <w:iCs/>
          <w:sz w:val="24"/>
          <w:szCs w:val="24"/>
        </w:rPr>
        <w:t xml:space="preserve"> == 6)</w:t>
      </w:r>
      <w:r>
        <w:rPr>
          <w:rFonts w:ascii="Times New Roman" w:eastAsia="Times New Roman" w:hAnsi="Times New Roman" w:cs="Times New Roman"/>
          <w:sz w:val="24"/>
          <w:szCs w:val="24"/>
        </w:rPr>
        <w:t xml:space="preserve">, odrzucając przy tym wszystkie fragmenty zaszumione błędem czujnika, cieniami chmur lub brakiem danych. Pobranie maski referencyjnej bezpośrednio z algorytmu SCL zapobiegło zjawisku wycieku danych, które zachodziłoby w sytuacji uczenia sieci na maskach generowanych z progowania tego samego indeksu MNDWI, który podawano na wejście modelu. Warstwę SCL o natywnej rozdzielczości 20 m przeskalowano do siatki 10 m wyłącznie metodą najbliższego sąsiada, co zagwarantowało zachowanie dyskretnych wartości klasyfikatora bez wprowadzania sztucznych wartości pośrednich. </w:t>
      </w:r>
    </w:p>
    <w:p w14:paraId="4C57F211"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Złożony wycinek poddano kafelkowaniu, dzieląc go na mniejsze bloki o stałym rozmiarze 256 </w:t>
      </w:r>
      <w:proofErr w:type="spellStart"/>
      <w:r>
        <w:rPr>
          <w:rFonts w:ascii="Times New Roman" w:eastAsia="Times New Roman" w:hAnsi="Times New Roman" w:cs="Times New Roman"/>
          <w:sz w:val="24"/>
          <w:szCs w:val="24"/>
        </w:rPr>
        <w:t>px</w:t>
      </w:r>
      <w:proofErr w:type="spellEnd"/>
      <w:r>
        <w:rPr>
          <w:rFonts w:ascii="Times New Roman" w:eastAsia="Times New Roman" w:hAnsi="Times New Roman" w:cs="Times New Roman"/>
          <w:sz w:val="24"/>
          <w:szCs w:val="24"/>
        </w:rPr>
        <w:t xml:space="preserve"> na 256 </w:t>
      </w:r>
      <w:proofErr w:type="spellStart"/>
      <w:r>
        <w:rPr>
          <w:rFonts w:ascii="Times New Roman" w:eastAsia="Times New Roman" w:hAnsi="Times New Roman" w:cs="Times New Roman"/>
          <w:sz w:val="24"/>
          <w:szCs w:val="24"/>
        </w:rPr>
        <w:t>px</w:t>
      </w:r>
      <w:proofErr w:type="spellEnd"/>
      <w:r>
        <w:rPr>
          <w:rFonts w:ascii="Times New Roman" w:eastAsia="Times New Roman" w:hAnsi="Times New Roman" w:cs="Times New Roman"/>
          <w:sz w:val="24"/>
          <w:szCs w:val="24"/>
        </w:rPr>
        <w:t xml:space="preserve">. W kodzie zaimplementowano mechanizm filtrowania, który akceptował jedynie te kafelki, na których obszar wodny stanowił 2%-98% procent powierzchni, gwarantując </w:t>
      </w:r>
      <w:r>
        <w:rPr>
          <w:rFonts w:ascii="Times New Roman" w:eastAsia="Times New Roman" w:hAnsi="Times New Roman" w:cs="Times New Roman"/>
          <w:sz w:val="24"/>
          <w:szCs w:val="24"/>
        </w:rPr>
        <w:lastRenderedPageBreak/>
        <w:t xml:space="preserve">obecność linii brzegowych w danych treningowych. Wynikiem tego etapu było uzyskanie czystego zestawu danych, składającego się z piętnastu kafelków przeznaczonych do uczenia sieci oraz czterech kafelków przeznaczonych do walidacji. </w:t>
      </w:r>
    </w:p>
    <w:p w14:paraId="64EE4AEB" w14:textId="77777777" w:rsidR="00AF077C" w:rsidRDefault="00000000">
      <w:pPr>
        <w:pStyle w:val="Heading2"/>
        <w:numPr>
          <w:ilvl w:val="0"/>
          <w:numId w:val="1"/>
        </w:numPr>
        <w:rPr>
          <w:rFonts w:ascii="Times New Roman" w:eastAsia="Times New Roman" w:hAnsi="Times New Roman" w:cs="Times New Roman"/>
        </w:rPr>
      </w:pPr>
      <w:bookmarkStart w:id="4" w:name="_94t1qzduzihl" w:colFirst="0" w:colLast="0"/>
      <w:bookmarkEnd w:id="4"/>
      <w:r>
        <w:rPr>
          <w:rFonts w:ascii="Times New Roman" w:eastAsia="Times New Roman" w:hAnsi="Times New Roman" w:cs="Times New Roman"/>
        </w:rPr>
        <w:t>ARCHITEKTURA MODELU I KONFIGURACJA PROCESU UCZENIA</w:t>
      </w:r>
    </w:p>
    <w:p w14:paraId="24BD03EC" w14:textId="77777777" w:rsidR="00AF077C" w:rsidRDefault="00AF077C"/>
    <w:p w14:paraId="024C3374"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 zadaniu segmentacji pikselowej wykorzystano architekturę U-Net wyeksportowaną z biblioteki </w:t>
      </w:r>
      <w:proofErr w:type="spellStart"/>
      <w:r>
        <w:rPr>
          <w:rFonts w:ascii="Times New Roman" w:eastAsia="Times New Roman" w:hAnsi="Times New Roman" w:cs="Times New Roman"/>
          <w:sz w:val="24"/>
          <w:szCs w:val="24"/>
        </w:rPr>
        <w:t>segmentation_models_pytorch</w:t>
      </w:r>
      <w:proofErr w:type="spellEnd"/>
      <w:r>
        <w:rPr>
          <w:rFonts w:ascii="Times New Roman" w:eastAsia="Times New Roman" w:hAnsi="Times New Roman" w:cs="Times New Roman"/>
          <w:sz w:val="24"/>
          <w:szCs w:val="24"/>
        </w:rPr>
        <w:t xml:space="preserve">. W roli </w:t>
      </w:r>
      <w:proofErr w:type="spellStart"/>
      <w:r>
        <w:rPr>
          <w:rFonts w:ascii="Times New Roman" w:eastAsia="Times New Roman" w:hAnsi="Times New Roman" w:cs="Times New Roman"/>
          <w:sz w:val="24"/>
          <w:szCs w:val="24"/>
        </w:rPr>
        <w:t>enkodera</w:t>
      </w:r>
      <w:proofErr w:type="spellEnd"/>
      <w:r>
        <w:rPr>
          <w:rFonts w:ascii="Times New Roman" w:eastAsia="Times New Roman" w:hAnsi="Times New Roman" w:cs="Times New Roman"/>
          <w:sz w:val="24"/>
          <w:szCs w:val="24"/>
        </w:rPr>
        <w:t xml:space="preserve"> analizującego cechy przestrzenne zastosowano sieć ResNet-34 zainicjowaną wagami przetrenowanymi na potężnym zbiorze </w:t>
      </w:r>
      <w:proofErr w:type="spellStart"/>
      <w:r>
        <w:rPr>
          <w:rFonts w:ascii="Times New Roman" w:eastAsia="Times New Roman" w:hAnsi="Times New Roman" w:cs="Times New Roman"/>
          <w:sz w:val="24"/>
          <w:szCs w:val="24"/>
        </w:rPr>
        <w:t>ImageNet</w:t>
      </w:r>
      <w:proofErr w:type="spellEnd"/>
      <w:r>
        <w:rPr>
          <w:rFonts w:ascii="Times New Roman" w:eastAsia="Times New Roman" w:hAnsi="Times New Roman" w:cs="Times New Roman"/>
          <w:sz w:val="24"/>
          <w:szCs w:val="24"/>
        </w:rPr>
        <w:t xml:space="preserve">. Model dostosowano w taki sposób, aby prawidłowo przyjmował informacje siedmiokanałowe na wejściu i zwracał jednokanałową mapę prawdopodobieństwa na warstwie wyjściowej. Na wyjściu sieci zrezygnowano z jawnej warstwy </w:t>
      </w:r>
      <w:proofErr w:type="spellStart"/>
      <w:r>
        <w:rPr>
          <w:rFonts w:ascii="Times New Roman" w:eastAsia="Times New Roman" w:hAnsi="Times New Roman" w:cs="Times New Roman"/>
          <w:sz w:val="24"/>
          <w:szCs w:val="24"/>
        </w:rPr>
        <w:t>sigmoidalnej</w:t>
      </w:r>
      <w:proofErr w:type="spellEnd"/>
      <w:r>
        <w:rPr>
          <w:rFonts w:ascii="Times New Roman" w:eastAsia="Times New Roman" w:hAnsi="Times New Roman" w:cs="Times New Roman"/>
          <w:sz w:val="24"/>
          <w:szCs w:val="24"/>
        </w:rPr>
        <w:t xml:space="preserve">, generując surowe </w:t>
      </w:r>
      <w:proofErr w:type="spellStart"/>
      <w:r>
        <w:rPr>
          <w:rFonts w:ascii="Times New Roman" w:eastAsia="Times New Roman" w:hAnsi="Times New Roman" w:cs="Times New Roman"/>
          <w:sz w:val="24"/>
          <w:szCs w:val="24"/>
        </w:rPr>
        <w:t>logity</w:t>
      </w:r>
      <w:proofErr w:type="spellEnd"/>
      <w:r>
        <w:rPr>
          <w:rFonts w:ascii="Times New Roman" w:eastAsia="Times New Roman" w:hAnsi="Times New Roman" w:cs="Times New Roman"/>
          <w:sz w:val="24"/>
          <w:szCs w:val="24"/>
        </w:rPr>
        <w:t xml:space="preserve"> w celu zachowania stabilności numerycznej podczas kalkulacji gradientów. </w:t>
      </w:r>
    </w:p>
    <w:p w14:paraId="405E9DE4"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Ze względu na ograniczenia sprzętowe, cały proces treningowy przeprowadzono w środowisku procesora centralnego CPU i zaplanowano na dwadzieścia pięć epok. Zastosowano optymalizator </w:t>
      </w:r>
      <w:proofErr w:type="spellStart"/>
      <w:r>
        <w:rPr>
          <w:rFonts w:ascii="Times New Roman" w:eastAsia="Times New Roman" w:hAnsi="Times New Roman" w:cs="Times New Roman"/>
          <w:sz w:val="24"/>
          <w:szCs w:val="24"/>
        </w:rPr>
        <w:t>AdamW</w:t>
      </w:r>
      <w:proofErr w:type="spellEnd"/>
      <w:r>
        <w:rPr>
          <w:rFonts w:ascii="Times New Roman" w:eastAsia="Times New Roman" w:hAnsi="Times New Roman" w:cs="Times New Roman"/>
          <w:sz w:val="24"/>
          <w:szCs w:val="24"/>
        </w:rPr>
        <w:t xml:space="preserve"> z szybkością uczenia ustawioną na wartość 1e-4 oraz identycznym parametrem spadku wag służącym do </w:t>
      </w:r>
      <w:proofErr w:type="spellStart"/>
      <w:r>
        <w:rPr>
          <w:rFonts w:ascii="Times New Roman" w:eastAsia="Times New Roman" w:hAnsi="Times New Roman" w:cs="Times New Roman"/>
          <w:sz w:val="24"/>
          <w:szCs w:val="24"/>
        </w:rPr>
        <w:t>regularyzacji</w:t>
      </w:r>
      <w:proofErr w:type="spellEnd"/>
      <w:r>
        <w:rPr>
          <w:rFonts w:ascii="Times New Roman" w:eastAsia="Times New Roman" w:hAnsi="Times New Roman" w:cs="Times New Roman"/>
          <w:sz w:val="24"/>
          <w:szCs w:val="24"/>
        </w:rPr>
        <w:t xml:space="preserve">. Funkcja kosztu została zdefiniowana jako hybryda łącząca w równych proporcjach błąd logistyczny </w:t>
      </w:r>
      <w:proofErr w:type="spellStart"/>
      <w:r>
        <w:rPr>
          <w:rFonts w:ascii="Times New Roman" w:eastAsia="Times New Roman" w:hAnsi="Times New Roman" w:cs="Times New Roman"/>
          <w:sz w:val="24"/>
          <w:szCs w:val="24"/>
        </w:rPr>
        <w:t>Binary</w:t>
      </w:r>
      <w:proofErr w:type="spellEnd"/>
      <w:r>
        <w:rPr>
          <w:rFonts w:ascii="Times New Roman" w:eastAsia="Times New Roman" w:hAnsi="Times New Roman" w:cs="Times New Roman"/>
          <w:sz w:val="24"/>
          <w:szCs w:val="24"/>
        </w:rPr>
        <w:t xml:space="preserve"> Cross-</w:t>
      </w:r>
      <w:proofErr w:type="spellStart"/>
      <w:r>
        <w:rPr>
          <w:rFonts w:ascii="Times New Roman" w:eastAsia="Times New Roman" w:hAnsi="Times New Roman" w:cs="Times New Roman"/>
          <w:sz w:val="24"/>
          <w:szCs w:val="24"/>
        </w:rPr>
        <w:t>Entropy</w:t>
      </w:r>
      <w:proofErr w:type="spellEnd"/>
      <w:r>
        <w:rPr>
          <w:rFonts w:ascii="Times New Roman" w:eastAsia="Times New Roman" w:hAnsi="Times New Roman" w:cs="Times New Roman"/>
          <w:sz w:val="24"/>
          <w:szCs w:val="24"/>
        </w:rPr>
        <w:t xml:space="preserve"> with </w:t>
      </w:r>
      <w:proofErr w:type="spellStart"/>
      <w:r>
        <w:rPr>
          <w:rFonts w:ascii="Times New Roman" w:eastAsia="Times New Roman" w:hAnsi="Times New Roman" w:cs="Times New Roman"/>
          <w:sz w:val="24"/>
          <w:szCs w:val="24"/>
        </w:rPr>
        <w:t>Logits</w:t>
      </w:r>
      <w:proofErr w:type="spellEnd"/>
      <w:r>
        <w:rPr>
          <w:rFonts w:ascii="Times New Roman" w:eastAsia="Times New Roman" w:hAnsi="Times New Roman" w:cs="Times New Roman"/>
          <w:sz w:val="24"/>
          <w:szCs w:val="24"/>
        </w:rPr>
        <w:t xml:space="preserve"> oraz błąd </w:t>
      </w:r>
      <w:proofErr w:type="spellStart"/>
      <w:r>
        <w:rPr>
          <w:rFonts w:ascii="Times New Roman" w:eastAsia="Times New Roman" w:hAnsi="Times New Roman" w:cs="Times New Roman"/>
          <w:sz w:val="24"/>
          <w:szCs w:val="24"/>
        </w:rPr>
        <w:t>Dice</w:t>
      </w:r>
      <w:proofErr w:type="spellEnd"/>
      <w:r>
        <w:rPr>
          <w:rFonts w:ascii="Times New Roman" w:eastAsia="Times New Roman" w:hAnsi="Times New Roman" w:cs="Times New Roman"/>
          <w:sz w:val="24"/>
          <w:szCs w:val="24"/>
        </w:rPr>
        <w:t>:</w:t>
      </w:r>
    </w:p>
    <w:p w14:paraId="08DC08E1" w14:textId="77777777" w:rsidR="00AF077C" w:rsidRDefault="00AF077C">
      <w:pPr>
        <w:spacing w:line="360" w:lineRule="auto"/>
        <w:ind w:firstLine="720"/>
        <w:jc w:val="both"/>
        <w:rPr>
          <w:rFonts w:ascii="Times New Roman" w:eastAsia="Times New Roman" w:hAnsi="Times New Roman" w:cs="Times New Roman"/>
          <w:sz w:val="24"/>
          <w:szCs w:val="24"/>
        </w:rPr>
      </w:pPr>
    </w:p>
    <w:p w14:paraId="018DD560" w14:textId="77777777" w:rsidR="008D3D10" w:rsidRDefault="008D3D10" w:rsidP="008D3D10">
      <w:pPr>
        <w:spacing w:line="360" w:lineRule="auto"/>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Total</m:t>
              </m:r>
            </m:sub>
          </m:sSub>
          <m:r>
            <w:rPr>
              <w:rFonts w:ascii="Times New Roman" w:eastAsia="Times New Roman" w:hAnsi="Times New Roman" w:cs="Times New Roman"/>
              <w:sz w:val="24"/>
              <w:szCs w:val="24"/>
            </w:rPr>
            <m:t>=0.5⋅</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BCE</m:t>
              </m:r>
            </m:sub>
          </m:sSub>
          <m:r>
            <w:rPr>
              <w:rFonts w:ascii="Times New Roman" w:eastAsia="Times New Roman" w:hAnsi="Times New Roman" w:cs="Times New Roman"/>
              <w:sz w:val="24"/>
              <w:szCs w:val="24"/>
            </w:rPr>
            <m:t>+0.5⋅</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Dice</m:t>
              </m:r>
            </m:sub>
          </m:sSub>
        </m:oMath>
      </m:oMathPara>
    </w:p>
    <w:p w14:paraId="393F625F" w14:textId="77777777" w:rsidR="008D3D10" w:rsidRDefault="008D3D10" w:rsidP="008D3D10">
      <w:pPr>
        <w:spacing w:line="360" w:lineRule="auto"/>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BCE</m:t>
              </m:r>
            </m:sub>
          </m:sSub>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N</m:t>
              </m:r>
            </m:den>
          </m:f>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log(σ(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))+(1-</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)log(1-σ(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e>
          </m:nary>
        </m:oMath>
      </m:oMathPara>
    </w:p>
    <w:p w14:paraId="4FADAD94" w14:textId="77777777" w:rsidR="008D3D10" w:rsidRDefault="008D3D10" w:rsidP="008D3D10">
      <w:pPr>
        <w:spacing w:line="360" w:lineRule="auto"/>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Dice</m:t>
              </m:r>
            </m:sub>
          </m:sSub>
          <m:r>
            <w:rPr>
              <w:rFonts w:ascii="Times New Roman" w:eastAsia="Times New Roman" w:hAnsi="Times New Roman" w:cs="Times New Roman"/>
              <w:sz w:val="24"/>
              <w:szCs w:val="24"/>
            </w:rPr>
            <m:t>=1-</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2</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r>
                    <w:rPr>
                      <w:rFonts w:ascii="Times New Roman" w:eastAsia="Times New Roman" w:hAnsi="Times New Roman" w:cs="Times New Roman"/>
                      <w:sz w:val="24"/>
                      <w:szCs w:val="24"/>
                    </w:rPr>
                    <m:t>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nary>
              <m:r>
                <w:rPr>
                  <w:rFonts w:ascii="Times New Roman" w:eastAsia="Times New Roman" w:hAnsi="Times New Roman" w:cs="Times New Roman"/>
                  <w:sz w:val="24"/>
                  <w:szCs w:val="24"/>
                </w:rPr>
                <m:t>+ϵ</m:t>
              </m:r>
            </m:num>
            <m:den>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r>
                    <w:rPr>
                      <w:rFonts w:ascii="Times New Roman" w:eastAsia="Times New Roman" w:hAnsi="Times New Roman" w:cs="Times New Roman"/>
                      <w:sz w:val="24"/>
                      <w:szCs w:val="24"/>
                    </w:rPr>
                    <m:t>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e>
              </m:nary>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+ϵ</m:t>
                  </m:r>
                </m:e>
              </m:nary>
            </m:den>
          </m:f>
        </m:oMath>
      </m:oMathPara>
    </w:p>
    <w:p w14:paraId="44A99AF0" w14:textId="77777777" w:rsidR="00AF077C" w:rsidRDefault="00AF077C">
      <w:pPr>
        <w:spacing w:line="360" w:lineRule="auto"/>
        <w:jc w:val="both"/>
        <w:rPr>
          <w:rFonts w:ascii="Times New Roman" w:eastAsia="Times New Roman" w:hAnsi="Times New Roman" w:cs="Times New Roman"/>
          <w:sz w:val="24"/>
          <w:szCs w:val="24"/>
        </w:rPr>
      </w:pPr>
    </w:p>
    <w:p w14:paraId="39A9BC95"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gdzie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oMath>
      <w:r>
        <w:rPr>
          <w:rFonts w:ascii="Times New Roman" w:eastAsia="Times New Roman" w:hAnsi="Times New Roman" w:cs="Times New Roman"/>
          <w:sz w:val="24"/>
          <w:szCs w:val="24"/>
        </w:rPr>
        <w:t xml:space="preserve"> oznacza logit wyjściowy dla danego piksela, </w:t>
      </w:r>
      <m:oMath>
        <m:r>
          <w:rPr>
            <w:rFonts w:ascii="Cambria Math" w:hAnsi="Cambria Math"/>
          </w:rPr>
          <m:t>σ</m:t>
        </m:r>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oMath>
      <w:r>
        <w:rPr>
          <w:rFonts w:ascii="Times New Roman" w:eastAsia="Times New Roman" w:hAnsi="Times New Roman" w:cs="Times New Roman"/>
          <w:sz w:val="24"/>
          <w:szCs w:val="24"/>
        </w:rPr>
        <w:t xml:space="preserve"> to wyliczone prawdopodobieństwo sigmoidalne,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w:r>
        <w:rPr>
          <w:rFonts w:ascii="Times New Roman" w:eastAsia="Times New Roman" w:hAnsi="Times New Roman" w:cs="Times New Roman"/>
          <w:sz w:val="24"/>
          <w:szCs w:val="24"/>
        </w:rPr>
        <w:t xml:space="preserve"> stanowi binarną etykietę referencyjną, natomiast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odpowiada liczbie pikseli w przetwarzanej paczce. Rozmiar paczki danych w trakcie uczenia określono na cztery obrazy, natomiast ewaluację przeprowadzano pojedynczo. </w:t>
      </w:r>
    </w:p>
    <w:p w14:paraId="3FB48056"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Jako model bazowy zaimplementowano algorytm progowania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xml:space="preserve">, który analizuje histogram wskaźnika NDWI i poszukuje progu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t</m:t>
            </m:r>
          </m:e>
          <m:sup>
            <m:r>
              <w:rPr>
                <w:rFonts w:ascii="Times New Roman" w:eastAsia="Times New Roman" w:hAnsi="Times New Roman" w:cs="Times New Roman"/>
                <w:sz w:val="24"/>
                <w:szCs w:val="24"/>
              </w:rPr>
              <m:t>*</m:t>
            </m:r>
          </m:sup>
        </m:sSup>
      </m:oMath>
      <w:r>
        <w:rPr>
          <w:rFonts w:ascii="Times New Roman" w:eastAsia="Times New Roman" w:hAnsi="Times New Roman" w:cs="Times New Roman"/>
          <w:sz w:val="24"/>
          <w:szCs w:val="24"/>
        </w:rPr>
        <w:t xml:space="preserve"> maksymalizującego wariancję międzyklasową: </w:t>
      </w:r>
    </w:p>
    <w:p w14:paraId="0AAC45C7" w14:textId="77777777" w:rsidR="00AF077C" w:rsidRDefault="00AF077C">
      <w:pPr>
        <w:spacing w:line="360" w:lineRule="auto"/>
        <w:jc w:val="both"/>
        <w:rPr>
          <w:rFonts w:ascii="Times New Roman" w:eastAsia="Times New Roman" w:hAnsi="Times New Roman" w:cs="Times New Roman"/>
          <w:sz w:val="24"/>
          <w:szCs w:val="24"/>
        </w:rPr>
      </w:pPr>
    </w:p>
    <w:p w14:paraId="0DFD914D" w14:textId="77777777" w:rsidR="00AF077C" w:rsidRDefault="00000000">
      <w:pPr>
        <w:spacing w:line="360" w:lineRule="auto"/>
        <w:jc w:val="center"/>
        <w:rPr>
          <w:rFonts w:ascii="Times New Roman" w:eastAsia="Times New Roman" w:hAnsi="Times New Roman" w:cs="Times New Roman"/>
          <w:sz w:val="24"/>
          <w:szCs w:val="24"/>
        </w:rPr>
      </w:pPr>
      <m:oMathPara>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t</m:t>
              </m:r>
            </m:e>
            <m:sup>
              <m:r>
                <w:rPr>
                  <w:rFonts w:ascii="Times New Roman" w:eastAsia="Times New Roman" w:hAnsi="Times New Roman" w:cs="Times New Roman"/>
                  <w:sz w:val="24"/>
                  <w:szCs w:val="24"/>
                </w:rPr>
                <m:t>*</m:t>
              </m:r>
            </m:sup>
          </m:sSup>
          <m:r>
            <w:rPr>
              <w:rFonts w:ascii="Times New Roman" w:eastAsia="Times New Roman" w:hAnsi="Times New Roman" w:cs="Times New Roman"/>
              <w:sz w:val="24"/>
              <w:szCs w:val="24"/>
            </w:rPr>
            <m:t xml:space="preserve">=arg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max</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ω</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ω</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e>
            <m:sup>
              <m:r>
                <w:rPr>
                  <w:rFonts w:ascii="Times New Roman" w:eastAsia="Times New Roman" w:hAnsi="Times New Roman" w:cs="Times New Roman"/>
                  <w:sz w:val="24"/>
                  <w:szCs w:val="24"/>
                </w:rPr>
                <m:t>2</m:t>
              </m:r>
            </m:sup>
          </m:sSup>
          <m:r>
            <w:rPr>
              <w:rFonts w:ascii="Times New Roman" w:eastAsia="Times New Roman" w:hAnsi="Times New Roman" w:cs="Times New Roman"/>
              <w:sz w:val="24"/>
              <w:szCs w:val="24"/>
            </w:rPr>
            <m:t>]</m:t>
          </m:r>
        </m:oMath>
      </m:oMathPara>
    </w:p>
    <w:p w14:paraId="53BBFEAE" w14:textId="77777777" w:rsidR="00AF077C" w:rsidRDefault="00AF077C">
      <w:pPr>
        <w:spacing w:line="360" w:lineRule="auto"/>
        <w:jc w:val="center"/>
        <w:rPr>
          <w:rFonts w:ascii="Times New Roman" w:eastAsia="Times New Roman" w:hAnsi="Times New Roman" w:cs="Times New Roman"/>
          <w:sz w:val="24"/>
          <w:szCs w:val="24"/>
        </w:rPr>
      </w:pPr>
    </w:p>
    <w:p w14:paraId="6E262C87" w14:textId="77777777" w:rsidR="00AF077C"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gdzie </w:t>
      </w:r>
      <m:oMath>
        <m:sSub>
          <m:sSubPr>
            <m:ctrlPr>
              <w:rPr>
                <w:rFonts w:ascii="Times New Roman" w:eastAsia="Times New Roman" w:hAnsi="Times New Roman" w:cs="Times New Roman"/>
                <w:sz w:val="24"/>
                <w:szCs w:val="24"/>
              </w:rPr>
            </m:ctrlPr>
          </m:sSubPr>
          <m:e>
            <m:r>
              <w:rPr>
                <w:rFonts w:ascii="Cambria Math" w:hAnsi="Cambria Math"/>
              </w:rPr>
              <m:t>ω</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ω</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oMath>
      <w:r>
        <w:rPr>
          <w:rFonts w:ascii="Times New Roman" w:eastAsia="Times New Roman" w:hAnsi="Times New Roman" w:cs="Times New Roman"/>
          <w:sz w:val="24"/>
          <w:szCs w:val="24"/>
        </w:rPr>
        <w:t xml:space="preserve"> odpowiadają prawdopodobieństwom wystąpienia klas tła i wody, a </w:t>
      </w:r>
      <m:oMath>
        <m:sSub>
          <m:sSubPr>
            <m:ctrlPr>
              <w:rPr>
                <w:rFonts w:ascii="Times New Roman" w:eastAsia="Times New Roman" w:hAnsi="Times New Roman" w:cs="Times New Roman"/>
                <w:sz w:val="24"/>
                <w:szCs w:val="24"/>
              </w:rPr>
            </m:ctrlPr>
          </m:sSubPr>
          <m:e>
            <m:r>
              <w:rPr>
                <w:rFonts w:ascii="Cambria Math" w:hAnsi="Cambria Math"/>
              </w:rPr>
              <m:t>μ</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oMath>
      <w:r>
        <w:rPr>
          <w:rFonts w:ascii="Times New Roman" w:eastAsia="Times New Roman" w:hAnsi="Times New Roman" w:cs="Times New Roman"/>
          <w:sz w:val="24"/>
          <w:szCs w:val="24"/>
        </w:rPr>
        <w:t xml:space="preserve"> oznaczają ich wartości średnie. </w:t>
      </w:r>
    </w:p>
    <w:p w14:paraId="498736A5" w14:textId="77777777" w:rsidR="00AF077C" w:rsidRDefault="00000000">
      <w:pPr>
        <w:pStyle w:val="Heading2"/>
        <w:numPr>
          <w:ilvl w:val="0"/>
          <w:numId w:val="1"/>
        </w:numPr>
        <w:spacing w:line="360" w:lineRule="auto"/>
        <w:jc w:val="both"/>
        <w:rPr>
          <w:rFonts w:ascii="Times New Roman" w:eastAsia="Times New Roman" w:hAnsi="Times New Roman" w:cs="Times New Roman"/>
        </w:rPr>
      </w:pPr>
      <w:bookmarkStart w:id="5" w:name="_dgo3ahfs6s0c" w:colFirst="0" w:colLast="0"/>
      <w:bookmarkEnd w:id="5"/>
      <w:r>
        <w:rPr>
          <w:rFonts w:ascii="Times New Roman" w:eastAsia="Times New Roman" w:hAnsi="Times New Roman" w:cs="Times New Roman"/>
        </w:rPr>
        <w:t>ANALIZA ZBIEŻNOŚCI I WYNIKI TRENINGU</w:t>
      </w:r>
    </w:p>
    <w:p w14:paraId="63483EAB"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 optymalizacji wag przebiegał w sposób niezwykle stabilny, co doskonale udowadniają zrzucone logi z kolejnych iteracji. W pierwszej epoce model zanotował błąd treningowy na poziomie 0.5275 oraz błąd walidacyjny rzędu 0.5810, osiągając przy tym znikomą skuteczność mierzoną metryką Val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wynoszącą 0.2261. Zjawisko to jest naturalnym następstwem transferu wiedzy - podczas gdy głębsze warstwy </w:t>
      </w:r>
      <w:proofErr w:type="spellStart"/>
      <w:r>
        <w:rPr>
          <w:rFonts w:ascii="Times New Roman" w:eastAsia="Times New Roman" w:hAnsi="Times New Roman" w:cs="Times New Roman"/>
          <w:sz w:val="24"/>
          <w:szCs w:val="24"/>
        </w:rPr>
        <w:t>enkodera</w:t>
      </w:r>
      <w:proofErr w:type="spellEnd"/>
      <w:r>
        <w:rPr>
          <w:rFonts w:ascii="Times New Roman" w:eastAsia="Times New Roman" w:hAnsi="Times New Roman" w:cs="Times New Roman"/>
          <w:sz w:val="24"/>
          <w:szCs w:val="24"/>
        </w:rPr>
        <w:t xml:space="preserve"> posiadały gotowe filtry detekcji krawędzi, pierwsza warstwa </w:t>
      </w:r>
      <w:proofErr w:type="spellStart"/>
      <w:r>
        <w:rPr>
          <w:rFonts w:ascii="Times New Roman" w:eastAsia="Times New Roman" w:hAnsi="Times New Roman" w:cs="Times New Roman"/>
          <w:sz w:val="24"/>
          <w:szCs w:val="24"/>
        </w:rPr>
        <w:t>konwolucyjna</w:t>
      </w:r>
      <w:proofErr w:type="spellEnd"/>
      <w:r>
        <w:rPr>
          <w:rFonts w:ascii="Times New Roman" w:eastAsia="Times New Roman" w:hAnsi="Times New Roman" w:cs="Times New Roman"/>
          <w:sz w:val="24"/>
          <w:szCs w:val="24"/>
        </w:rPr>
        <w:t xml:space="preserve"> musiała od podstaw wyznaczyć wagi dla nietypowego, 7-kanałowego tensora wejściowego. </w:t>
      </w:r>
    </w:p>
    <w:p w14:paraId="65990115"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 każdą kolejną epoką parametry błędu ulegały redukcji. Już w dziesiątej epoce błąd treningowy spadł do poziomu 0.1819, a główna metryka ewaluacyjna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przekroczyła granicę 0.97. Proces uczenia zakończył się po dwudziestu pięciu epokach z końcowym, niezwykle niskim błędem na zbiorze uczącym równym 0.1117 i walidacyjnym schodzącym do poziomu 0.1015. Najlepsza zaobserwowana wartość Val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dla tego zbioru ukształtowała się na poziomie 0.9855, co wskazuje na doskonałe dopasowanie geometrii modelu do specyfiki lokalnych zbiorników wodnych, bez jakichkolwiek oznak zjawiska przetrenowania. Zastosowany mechanizm wczesnego zapisu najlepszego punktu kontrolnego zabezpieczył wagi modelu przed ewentualnymi oscylacjami w ostatnich iteracjach. </w:t>
      </w:r>
    </w:p>
    <w:p w14:paraId="39CB701A" w14:textId="77777777" w:rsidR="00AF077C" w:rsidRDefault="00000000">
      <w:pPr>
        <w:pStyle w:val="Heading2"/>
        <w:numPr>
          <w:ilvl w:val="0"/>
          <w:numId w:val="1"/>
        </w:numPr>
        <w:spacing w:line="360" w:lineRule="auto"/>
        <w:rPr>
          <w:rFonts w:ascii="Times New Roman" w:eastAsia="Times New Roman" w:hAnsi="Times New Roman" w:cs="Times New Roman"/>
        </w:rPr>
      </w:pPr>
      <w:bookmarkStart w:id="6" w:name="_xazc9fhnqgby" w:colFirst="0" w:colLast="0"/>
      <w:bookmarkEnd w:id="6"/>
      <w:r>
        <w:rPr>
          <w:rFonts w:ascii="Times New Roman" w:eastAsia="Times New Roman" w:hAnsi="Times New Roman" w:cs="Times New Roman"/>
        </w:rPr>
        <w:t>EWALUACJA KOŃCOWA I ANALIZA PORÓWNAWCZA Z MODELEM BAZOWYM</w:t>
      </w:r>
    </w:p>
    <w:p w14:paraId="4C985762"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 celu obiektywnego porównania modeli metryki wyliczono w sposób zagregowany dla całego zbioru walidacyjnego, akumulując sumy iloczynów i sum logicznych zbiorów:  </w:t>
      </w:r>
    </w:p>
    <w:p w14:paraId="0B5D1E73" w14:textId="77777777" w:rsidR="00AF077C" w:rsidRDefault="00000000">
      <w:pPr>
        <w:spacing w:line="360" w:lineRule="auto"/>
        <w:jc w:val="center"/>
        <w:rPr>
          <w:rFonts w:ascii="Times New Roman" w:eastAsia="Times New Roman" w:hAnsi="Times New Roman" w:cs="Times New Roman"/>
          <w:sz w:val="24"/>
          <w:szCs w:val="24"/>
        </w:rPr>
      </w:pPr>
      <m:oMath>
        <m:r>
          <w:rPr>
            <w:rFonts w:ascii="Times New Roman" w:eastAsia="Times New Roman" w:hAnsi="Times New Roman" w:cs="Times New Roman"/>
            <w:sz w:val="24"/>
            <w:szCs w:val="24"/>
          </w:rPr>
          <m:t>Global IoU=</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Σ|P </m:t>
            </m:r>
            <m:r>
              <m:rPr>
                <m:sty m:val="bi"/>
              </m:rPr>
              <w:rPr>
                <w:rFonts w:ascii="Cambria Math" w:hAnsi="Cambria Math"/>
                <w:sz w:val="24"/>
                <w:szCs w:val="24"/>
              </w:rPr>
              <m:t>∩</m:t>
            </m:r>
            <m:r>
              <w:rPr>
                <w:rFonts w:ascii="Times New Roman" w:eastAsia="Times New Roman" w:hAnsi="Times New Roman" w:cs="Times New Roman"/>
                <w:sz w:val="24"/>
                <w:szCs w:val="24"/>
              </w:rPr>
              <m:t xml:space="preserve"> T|+ϵ</m:t>
            </m:r>
          </m:num>
          <m:den>
            <m:r>
              <w:rPr>
                <w:rFonts w:ascii="Times New Roman" w:eastAsia="Times New Roman" w:hAnsi="Times New Roman" w:cs="Times New Roman"/>
                <w:sz w:val="24"/>
                <w:szCs w:val="24"/>
              </w:rPr>
              <m:t xml:space="preserve">Σ|P </m:t>
            </m:r>
            <m:r>
              <m:rPr>
                <m:sty m:val="bi"/>
              </m:rPr>
              <w:rPr>
                <w:rFonts w:ascii="Cambria Math" w:hAnsi="Cambria Math"/>
                <w:sz w:val="24"/>
                <w:szCs w:val="24"/>
              </w:rPr>
              <m:t>∪</m:t>
            </m:r>
            <m:r>
              <w:rPr>
                <w:rFonts w:ascii="Times New Roman" w:eastAsia="Times New Roman" w:hAnsi="Times New Roman" w:cs="Times New Roman"/>
                <w:sz w:val="24"/>
                <w:szCs w:val="24"/>
              </w:rPr>
              <m:t xml:space="preserve"> T|+ϵ</m:t>
            </m:r>
          </m:den>
        </m:f>
      </m:oMath>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Global Dice=</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2Σ|P </m:t>
            </m:r>
            <m:r>
              <m:rPr>
                <m:sty m:val="bi"/>
              </m:rPr>
              <w:rPr>
                <w:rFonts w:ascii="Cambria Math" w:hAnsi="Cambria Math"/>
                <w:sz w:val="24"/>
                <w:szCs w:val="24"/>
              </w:rPr>
              <m:t>∩</m:t>
            </m:r>
            <m:r>
              <w:rPr>
                <w:rFonts w:ascii="Times New Roman" w:eastAsia="Times New Roman" w:hAnsi="Times New Roman" w:cs="Times New Roman"/>
                <w:sz w:val="24"/>
                <w:szCs w:val="24"/>
              </w:rPr>
              <m:t xml:space="preserve"> T|+ϵ</m:t>
            </m:r>
          </m:num>
          <m:den>
            <m:r>
              <w:rPr>
                <w:rFonts w:ascii="Times New Roman" w:eastAsia="Times New Roman" w:hAnsi="Times New Roman" w:cs="Times New Roman"/>
                <w:sz w:val="24"/>
                <w:szCs w:val="24"/>
              </w:rPr>
              <m:t>Σ|P|+Σ|T|+ϵ</m:t>
            </m:r>
          </m:den>
        </m:f>
      </m:oMath>
    </w:p>
    <w:p w14:paraId="0E65DF12"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Wydajność wytrenowanej sieci U-Net została dodatkowo zestawiona z modelem bazowym działającym w oparciu o algorytm progowania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xml:space="preserve">, który zaaplikowano bezpośrednio do wyliczonego w pierwszym etapie indeksu NDWI. Podejście oparte na </w:t>
      </w:r>
      <w:r>
        <w:rPr>
          <w:rFonts w:ascii="Times New Roman" w:eastAsia="Times New Roman" w:hAnsi="Times New Roman" w:cs="Times New Roman"/>
          <w:sz w:val="24"/>
          <w:szCs w:val="24"/>
        </w:rPr>
        <w:lastRenderedPageBreak/>
        <w:t xml:space="preserve">klasycznej analizie obrazu osiągnęło w ujęciu globalnym wartość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rzędu 0.9851 oraz </w:t>
      </w:r>
      <w:proofErr w:type="spellStart"/>
      <w:r>
        <w:rPr>
          <w:rFonts w:ascii="Times New Roman" w:eastAsia="Times New Roman" w:hAnsi="Times New Roman" w:cs="Times New Roman"/>
          <w:sz w:val="24"/>
          <w:szCs w:val="24"/>
        </w:rPr>
        <w:t>Dice</w:t>
      </w:r>
      <w:proofErr w:type="spellEnd"/>
      <w:r>
        <w:rPr>
          <w:rFonts w:ascii="Times New Roman" w:eastAsia="Times New Roman" w:hAnsi="Times New Roman" w:cs="Times New Roman"/>
          <w:sz w:val="24"/>
          <w:szCs w:val="24"/>
        </w:rPr>
        <w:t xml:space="preserve"> na poziomie 0.9925. Sieć </w:t>
      </w:r>
      <w:proofErr w:type="spellStart"/>
      <w:r>
        <w:rPr>
          <w:rFonts w:ascii="Times New Roman" w:eastAsia="Times New Roman" w:hAnsi="Times New Roman" w:cs="Times New Roman"/>
          <w:sz w:val="24"/>
          <w:szCs w:val="24"/>
        </w:rPr>
        <w:t>konwolucyjna</w:t>
      </w:r>
      <w:proofErr w:type="spellEnd"/>
      <w:r>
        <w:rPr>
          <w:rFonts w:ascii="Times New Roman" w:eastAsia="Times New Roman" w:hAnsi="Times New Roman" w:cs="Times New Roman"/>
          <w:sz w:val="24"/>
          <w:szCs w:val="24"/>
        </w:rPr>
        <w:t xml:space="preserve"> wypadła mimo to lepiej - wytrenowany model U-Net, weryfikowany przy standardowym progu odcięcia 0.5, osiągnął globalne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równe 0.9855 i metrykę </w:t>
      </w:r>
      <w:proofErr w:type="spellStart"/>
      <w:r>
        <w:rPr>
          <w:rFonts w:ascii="Times New Roman" w:eastAsia="Times New Roman" w:hAnsi="Times New Roman" w:cs="Times New Roman"/>
          <w:sz w:val="24"/>
          <w:szCs w:val="24"/>
        </w:rPr>
        <w:t>Dice</w:t>
      </w:r>
      <w:proofErr w:type="spellEnd"/>
      <w:r>
        <w:rPr>
          <w:rFonts w:ascii="Times New Roman" w:eastAsia="Times New Roman" w:hAnsi="Times New Roman" w:cs="Times New Roman"/>
          <w:sz w:val="24"/>
          <w:szCs w:val="24"/>
        </w:rPr>
        <w:t xml:space="preserve"> na poziomie 0.9927. </w:t>
      </w:r>
    </w:p>
    <w:p w14:paraId="752B7F57"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Wygenerowany w ramach podsumowania plik graficzny zapisany pod nazwą evaluation_results.jpg pozwala na wizualną ocenę predykcji. Porównanie naturalnej kompozycji RGB, maski stworzonej algorytmem progowania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xml:space="preserve">, probabilistycznej mapy wyjściowej z sieci U-Net i ostatecznej referencyjnej warstwy SCL udowadnia, że obie metody świetnie radzą sobie z modelowaniem skomplikowanej linii brzegowej. Architektura oparta o głębokie uczenie maszynowe zapewnia jednak minimalnie lepszą szczelność segmentacji i skuteczniej ignoruje lokalne nieścisłości. </w:t>
      </w:r>
    </w:p>
    <w:p w14:paraId="20C12997" w14:textId="77777777" w:rsidR="00AF077C" w:rsidRDefault="00AF077C">
      <w:pPr>
        <w:spacing w:line="360" w:lineRule="auto"/>
        <w:ind w:firstLine="720"/>
        <w:jc w:val="both"/>
        <w:rPr>
          <w:rFonts w:ascii="Times New Roman" w:eastAsia="Times New Roman" w:hAnsi="Times New Roman" w:cs="Times New Roman"/>
          <w:sz w:val="24"/>
          <w:szCs w:val="24"/>
        </w:rPr>
      </w:pPr>
    </w:p>
    <w:p w14:paraId="2D65386F" w14:textId="77777777" w:rsidR="00AF077C"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Rys. 1. Zestawienie kompozycji RGB, metody </w:t>
      </w:r>
      <w:proofErr w:type="spellStart"/>
      <w:r>
        <w:rPr>
          <w:rFonts w:ascii="Times New Roman" w:eastAsia="Times New Roman" w:hAnsi="Times New Roman" w:cs="Times New Roman"/>
          <w:sz w:val="20"/>
          <w:szCs w:val="20"/>
        </w:rPr>
        <w:t>Otsu</w:t>
      </w:r>
      <w:proofErr w:type="spellEnd"/>
      <w:r>
        <w:rPr>
          <w:rFonts w:ascii="Times New Roman" w:eastAsia="Times New Roman" w:hAnsi="Times New Roman" w:cs="Times New Roman"/>
          <w:sz w:val="20"/>
          <w:szCs w:val="20"/>
        </w:rPr>
        <w:t>, predykcji U-Net oraz maski referencyjnej.</w:t>
      </w:r>
      <w:r>
        <w:rPr>
          <w:rFonts w:ascii="Times New Roman" w:eastAsia="Times New Roman" w:hAnsi="Times New Roman" w:cs="Times New Roman"/>
          <w:noProof/>
          <w:sz w:val="24"/>
          <w:szCs w:val="24"/>
        </w:rPr>
        <w:drawing>
          <wp:inline distT="114300" distB="114300" distL="114300" distR="114300" wp14:anchorId="197AAFB2" wp14:editId="12B3014E">
            <wp:extent cx="5731200" cy="1435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1435100"/>
                    </a:xfrm>
                    <a:prstGeom prst="rect">
                      <a:avLst/>
                    </a:prstGeom>
                    <a:ln/>
                  </pic:spPr>
                </pic:pic>
              </a:graphicData>
            </a:graphic>
          </wp:inline>
        </w:drawing>
      </w:r>
    </w:p>
    <w:p w14:paraId="1F32C51B" w14:textId="77777777" w:rsidR="00AF077C" w:rsidRDefault="00AF077C">
      <w:pPr>
        <w:spacing w:line="360" w:lineRule="auto"/>
        <w:rPr>
          <w:rFonts w:ascii="Times New Roman" w:eastAsia="Times New Roman" w:hAnsi="Times New Roman" w:cs="Times New Roman"/>
          <w:sz w:val="24"/>
          <w:szCs w:val="24"/>
        </w:rPr>
      </w:pPr>
    </w:p>
    <w:p w14:paraId="79C05AEC"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Szczegółowa analiza kafelka przedstawionego na Rys. 1 pozwala precyzyjnie zweryfikować zachowanie obu metod na trudnym fragmencie wybrzeża, obejmującym zróżnicowany cypel lądu, wąski kanał wodny po lewej stronie oraz toń z widocznymi smugami prądowymi i zawiesiną. Na kompozycji RGB wzdłuż linii brzegowej wyraźnie odznacza się jaskrawozielony pas roślinności szuwarowej i płycizn. Na drugim panelu, prezentującym wynik progowania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xml:space="preserve">, widoczne są charakterystyczne artefakty tej metody. Tuż na południe od wysuniętego cypla algorytm wygenerował oderwane od brzegu, białe skupiska pikseli w otwartej wodzie. Są to fałszywe negatywy wywołane lokalną obecnością podpowierzchniowej roślinności oraz zawiesiny mineralnej, która podwyższa </w:t>
      </w:r>
      <w:proofErr w:type="spellStart"/>
      <w:r>
        <w:rPr>
          <w:rFonts w:ascii="Times New Roman" w:eastAsia="Times New Roman" w:hAnsi="Times New Roman" w:cs="Times New Roman"/>
          <w:sz w:val="24"/>
          <w:szCs w:val="24"/>
        </w:rPr>
        <w:t>reflektancję</w:t>
      </w:r>
      <w:proofErr w:type="spellEnd"/>
      <w:r>
        <w:rPr>
          <w:rFonts w:ascii="Times New Roman" w:eastAsia="Times New Roman" w:hAnsi="Times New Roman" w:cs="Times New Roman"/>
          <w:sz w:val="24"/>
          <w:szCs w:val="24"/>
        </w:rPr>
        <w:t xml:space="preserve"> w bliskiej podczerwieni B08 i zaniża wartość wskaźnika NDWI poniżej wyznaczonego globalnie progu. Ponadto wzdłuż wąskiego kanału po lewej stronie progowanie jednoindeksowe wykazuje tendencję do zrywania ciągłości cieku w miejscach silniejszego zarastania koryta. Predykcja sieci U-Net widoczna na trzecim panelu całkowicie eliminuje te niedoskonałości. Model, korzystając z pełnego 7-kanałowego tensora (w tym pasma SWIR B11 oraz wskaźnika MNDWI) i </w:t>
      </w:r>
      <w:r>
        <w:rPr>
          <w:rFonts w:ascii="Times New Roman" w:eastAsia="Times New Roman" w:hAnsi="Times New Roman" w:cs="Times New Roman"/>
          <w:sz w:val="24"/>
          <w:szCs w:val="24"/>
        </w:rPr>
        <w:lastRenderedPageBreak/>
        <w:t xml:space="preserve">przestrzennego kontekstu sąsiednich pikseli, bezbłędnie odfiltrował szum w toni wodnej, zachowując jednolitą powierzchnię akwenu i odrzucając fałszywe wysepki wygenerowane przez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xml:space="preserve">. Jednocześnie sieć precyzyjnie odwzorowała przebieg wąskiego kanału rzecznego, utrzymując jego pełną drożność hydrauliczną na całej długości. Kluczowy wniosek płynie z porównania predykcji U-Net z maską referencyjną SCL na czwartym panelu. Maska SCL wykazuje wyraźną, schodkową strukturę krawędzi, będącą bezpośrednią konsekwencją powiększenia kategorycznych danych z natywnej rozdzielczości 20 m metodą najbliższego sąsiada. Zjawisko to widać szczególnie jaskrawo wzdłuż wschodniego brzegu cypla oraz na obrzeżach kanału. Sieć U-Net nie powieliła tej schodkowości. Dzięki połączeniom omijającym, które przenoszą wysokorozdzielcze informacje przestrzenne z początkowych poziomów </w:t>
      </w:r>
      <w:proofErr w:type="spellStart"/>
      <w:r>
        <w:rPr>
          <w:rFonts w:ascii="Times New Roman" w:eastAsia="Times New Roman" w:hAnsi="Times New Roman" w:cs="Times New Roman"/>
          <w:sz w:val="24"/>
          <w:szCs w:val="24"/>
        </w:rPr>
        <w:t>enkodera</w:t>
      </w:r>
      <w:proofErr w:type="spellEnd"/>
      <w:r>
        <w:rPr>
          <w:rFonts w:ascii="Times New Roman" w:eastAsia="Times New Roman" w:hAnsi="Times New Roman" w:cs="Times New Roman"/>
          <w:sz w:val="24"/>
          <w:szCs w:val="24"/>
        </w:rPr>
        <w:t xml:space="preserve"> zasilanych pasmami 10-metrowymi (B02, B03, B04, B08), model wygenerował gładką, naturalną granicę lądu i wody, wiernie pokrywającą się z rzeczywistą geometrią widoczną na naturalnej kompozycji barwnej. Oznacza to, że sieć nauczyła się semantycznej definicji wody z 20-metrowej maski Sen2Cor, ale precyzję przestrzenną krawędzi wyznacza w oparciu o ostrzejsze pasma 10-metrowe, przewyższając rozdzielczość samego zbioru uczącego. </w:t>
      </w:r>
    </w:p>
    <w:p w14:paraId="636CFFD3" w14:textId="77777777" w:rsidR="00AF077C" w:rsidRDefault="00000000">
      <w:pPr>
        <w:pStyle w:val="Heading2"/>
        <w:numPr>
          <w:ilvl w:val="0"/>
          <w:numId w:val="1"/>
        </w:numPr>
        <w:spacing w:line="360" w:lineRule="auto"/>
        <w:jc w:val="both"/>
        <w:rPr>
          <w:rFonts w:ascii="Times New Roman" w:eastAsia="Times New Roman" w:hAnsi="Times New Roman" w:cs="Times New Roman"/>
        </w:rPr>
      </w:pPr>
      <w:bookmarkStart w:id="7" w:name="_gnzfu1klpj2u" w:colFirst="0" w:colLast="0"/>
      <w:bookmarkEnd w:id="7"/>
      <w:r>
        <w:rPr>
          <w:rFonts w:ascii="Times New Roman" w:eastAsia="Times New Roman" w:hAnsi="Times New Roman" w:cs="Times New Roman"/>
        </w:rPr>
        <w:t>WNIOSKI I PERSPEKTYWY ROZWOJU</w:t>
      </w:r>
    </w:p>
    <w:p w14:paraId="679F37AA"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Zrealizowany eksperyment potwierdził wysoką skuteczność </w:t>
      </w:r>
      <w:proofErr w:type="spellStart"/>
      <w:r>
        <w:rPr>
          <w:rFonts w:ascii="Times New Roman" w:eastAsia="Times New Roman" w:hAnsi="Times New Roman" w:cs="Times New Roman"/>
          <w:sz w:val="24"/>
          <w:szCs w:val="24"/>
        </w:rPr>
        <w:t>konwolucyjnej</w:t>
      </w:r>
      <w:proofErr w:type="spellEnd"/>
      <w:r>
        <w:rPr>
          <w:rFonts w:ascii="Times New Roman" w:eastAsia="Times New Roman" w:hAnsi="Times New Roman" w:cs="Times New Roman"/>
          <w:sz w:val="24"/>
          <w:szCs w:val="24"/>
        </w:rPr>
        <w:t xml:space="preserve"> sieci U-Net z </w:t>
      </w:r>
      <w:proofErr w:type="spellStart"/>
      <w:r>
        <w:rPr>
          <w:rFonts w:ascii="Times New Roman" w:eastAsia="Times New Roman" w:hAnsi="Times New Roman" w:cs="Times New Roman"/>
          <w:sz w:val="24"/>
          <w:szCs w:val="24"/>
        </w:rPr>
        <w:t>enkoderem</w:t>
      </w:r>
      <w:proofErr w:type="spellEnd"/>
      <w:r>
        <w:rPr>
          <w:rFonts w:ascii="Times New Roman" w:eastAsia="Times New Roman" w:hAnsi="Times New Roman" w:cs="Times New Roman"/>
          <w:sz w:val="24"/>
          <w:szCs w:val="24"/>
        </w:rPr>
        <w:t xml:space="preserve"> ResNet-34 w zadaniu </w:t>
      </w:r>
      <w:proofErr w:type="spellStart"/>
      <w:r>
        <w:rPr>
          <w:rFonts w:ascii="Times New Roman" w:eastAsia="Times New Roman" w:hAnsi="Times New Roman" w:cs="Times New Roman"/>
          <w:sz w:val="24"/>
          <w:szCs w:val="24"/>
        </w:rPr>
        <w:t>wielospektralnej</w:t>
      </w:r>
      <w:proofErr w:type="spellEnd"/>
      <w:r>
        <w:rPr>
          <w:rFonts w:ascii="Times New Roman" w:eastAsia="Times New Roman" w:hAnsi="Times New Roman" w:cs="Times New Roman"/>
          <w:sz w:val="24"/>
          <w:szCs w:val="24"/>
        </w:rPr>
        <w:t xml:space="preserve"> segmentacji wód powierzchniowych. Zastąpienie prostej maski z progowania MNDWI niezależną warstwą klasyfikacyjną SCL wyeliminowało ryzyko wycieku danych, a włączenie pasma SWIR (B11) oraz wskaźników spektralnych do 7-kanałowego tensora wejściowego dostarczyło modelowi kompletnych cech fizycznych. Choć klasyczna metoda </w:t>
      </w:r>
      <w:proofErr w:type="spellStart"/>
      <w:r>
        <w:rPr>
          <w:rFonts w:ascii="Times New Roman" w:eastAsia="Times New Roman" w:hAnsi="Times New Roman" w:cs="Times New Roman"/>
          <w:sz w:val="24"/>
          <w:szCs w:val="24"/>
        </w:rPr>
        <w:t>Otsu</w:t>
      </w:r>
      <w:proofErr w:type="spellEnd"/>
      <w:r>
        <w:rPr>
          <w:rFonts w:ascii="Times New Roman" w:eastAsia="Times New Roman" w:hAnsi="Times New Roman" w:cs="Times New Roman"/>
          <w:sz w:val="24"/>
          <w:szCs w:val="24"/>
        </w:rPr>
        <w:t xml:space="preserve"> na wskaźniku NDWI osiągnęła wysokie globalne metryki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równe 0.9851), to analiza jakościowa wykazała jej wyraźną podatność na zakłócenia wywołane zawiesiną mineralną i roślinnością podwodną. Sieć neuronowa dzięki integracji cech spektralnych i kontekstu przestrzennego zachowała pełną jednorodność akwenów, osiągając globalne </w:t>
      </w:r>
      <w:proofErr w:type="spellStart"/>
      <w:r>
        <w:rPr>
          <w:rFonts w:ascii="Times New Roman" w:eastAsia="Times New Roman" w:hAnsi="Times New Roman" w:cs="Times New Roman"/>
          <w:sz w:val="24"/>
          <w:szCs w:val="24"/>
        </w:rPr>
        <w:t>IoU</w:t>
      </w:r>
      <w:proofErr w:type="spellEnd"/>
      <w:r>
        <w:rPr>
          <w:rFonts w:ascii="Times New Roman" w:eastAsia="Times New Roman" w:hAnsi="Times New Roman" w:cs="Times New Roman"/>
          <w:sz w:val="24"/>
          <w:szCs w:val="24"/>
        </w:rPr>
        <w:t xml:space="preserve"> na poziomie 0.9855. Co szczególnie istotne, dzięki połączeniom omijającym model odtworzył przebieg linii brzegowej z gładkością odpowiadającą pasmom 10-metrowym, przewyższając ostrość samej 20-metrowej maski referencyjnej. </w:t>
      </w:r>
    </w:p>
    <w:p w14:paraId="622751D1"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Głównym ograniczeniem obecnego prototypu jest oparcie zbioru danych na pojedynczej scenie z okresu letniego oraz niewielka liczba wyciętych kafelków wymuszona </w:t>
      </w:r>
      <w:r>
        <w:rPr>
          <w:rFonts w:ascii="Times New Roman" w:eastAsia="Times New Roman" w:hAnsi="Times New Roman" w:cs="Times New Roman"/>
          <w:sz w:val="24"/>
          <w:szCs w:val="24"/>
        </w:rPr>
        <w:lastRenderedPageBreak/>
        <w:t xml:space="preserve">treningiem na procesorze CPU. W ramach dalszych prac naturalnym krokiem rozwoju projektu byłoby rozszerzenie potoku o zobrazowania z różnych pór roku oraz odmiennych obszarów geograficznych, w tym rzek górskich i obszarów zurbanizowanych z głębokimi cieniami budynków. Istotnym usprawnieniem potoku danych byłoby także wdrożenie zaawansowanych augmentacji przestrzennych i radiometrycznych z wykorzystaniem biblioteki </w:t>
      </w:r>
      <w:proofErr w:type="spellStart"/>
      <w:r>
        <w:rPr>
          <w:rFonts w:ascii="Times New Roman" w:eastAsia="Times New Roman" w:hAnsi="Times New Roman" w:cs="Times New Roman"/>
          <w:sz w:val="24"/>
          <w:szCs w:val="24"/>
        </w:rPr>
        <w:t>Albumentations</w:t>
      </w:r>
      <w:proofErr w:type="spellEnd"/>
      <w:r>
        <w:rPr>
          <w:rFonts w:ascii="Times New Roman" w:eastAsia="Times New Roman" w:hAnsi="Times New Roman" w:cs="Times New Roman"/>
          <w:sz w:val="24"/>
          <w:szCs w:val="24"/>
        </w:rPr>
        <w:t xml:space="preserve">, a także przetestowanie nowszych </w:t>
      </w:r>
      <w:proofErr w:type="spellStart"/>
      <w:r>
        <w:rPr>
          <w:rFonts w:ascii="Times New Roman" w:eastAsia="Times New Roman" w:hAnsi="Times New Roman" w:cs="Times New Roman"/>
          <w:sz w:val="24"/>
          <w:szCs w:val="24"/>
        </w:rPr>
        <w:t>architektur</w:t>
      </w:r>
      <w:proofErr w:type="spellEnd"/>
      <w:r>
        <w:rPr>
          <w:rFonts w:ascii="Times New Roman" w:eastAsia="Times New Roman" w:hAnsi="Times New Roman" w:cs="Times New Roman"/>
          <w:sz w:val="24"/>
          <w:szCs w:val="24"/>
        </w:rPr>
        <w:t xml:space="preserve"> segmentacyjnych opartych na mechanizmach uwagi, takich jak </w:t>
      </w:r>
      <w:proofErr w:type="spellStart"/>
      <w:r>
        <w:rPr>
          <w:rFonts w:ascii="Times New Roman" w:eastAsia="Times New Roman" w:hAnsi="Times New Roman" w:cs="Times New Roman"/>
          <w:sz w:val="24"/>
          <w:szCs w:val="24"/>
        </w:rPr>
        <w:t>SegFormer</w:t>
      </w:r>
      <w:proofErr w:type="spellEnd"/>
      <w:r>
        <w:rPr>
          <w:rFonts w:ascii="Times New Roman" w:eastAsia="Times New Roman" w:hAnsi="Times New Roman" w:cs="Times New Roman"/>
          <w:sz w:val="24"/>
          <w:szCs w:val="24"/>
        </w:rPr>
        <w:t xml:space="preserve">. </w:t>
      </w:r>
    </w:p>
    <w:sectPr w:rsidR="00AF077C">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embedItalic r:id="rId1" w:fontKey="{088A763D-2FDF-4E93-A216-9A9AA9CD4184}"/>
    <w:embedBoldItalic r:id="rId2" w:fontKey="{2D93ACBC-3DF0-4D3D-BE12-86E58BE0A6ED}"/>
  </w:font>
  <w:font w:name="Calibri">
    <w:panose1 w:val="020F0502020204030204"/>
    <w:charset w:val="EE"/>
    <w:family w:val="swiss"/>
    <w:pitch w:val="variable"/>
    <w:sig w:usb0="E4002EFF" w:usb1="C200247B" w:usb2="00000009" w:usb3="00000000" w:csb0="000001FF" w:csb1="00000000"/>
    <w:embedRegular r:id="rId3" w:fontKey="{330BB34F-9122-4771-8721-F2204E5BFA21}"/>
  </w:font>
  <w:font w:name="Cambria">
    <w:panose1 w:val="02040503050406030204"/>
    <w:charset w:val="EE"/>
    <w:family w:val="roman"/>
    <w:pitch w:val="variable"/>
    <w:sig w:usb0="E00006FF" w:usb1="420024FF" w:usb2="02000000" w:usb3="00000000" w:csb0="0000019F" w:csb1="00000000"/>
    <w:embedRegular r:id="rId4" w:fontKey="{D4547408-8C65-4C6C-BE08-2FFFB08A7E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0264F"/>
    <w:multiLevelType w:val="multilevel"/>
    <w:tmpl w:val="A2FAD8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26737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77C"/>
    <w:rsid w:val="007A684E"/>
    <w:rsid w:val="008D3D10"/>
    <w:rsid w:val="00AF077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8845C"/>
  <w15:docId w15:val="{76A3D64C-286D-4A20-8FE6-F37F9498D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2161</Words>
  <Characters>12967</Characters>
  <Application>Microsoft Office Word</Application>
  <DocSecurity>0</DocSecurity>
  <Lines>108</Lines>
  <Paragraphs>30</Paragraphs>
  <ScaleCrop>false</ScaleCrop>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Aleksandra Stanisz</cp:lastModifiedBy>
  <cp:revision>2</cp:revision>
  <dcterms:created xsi:type="dcterms:W3CDTF">2026-10-18T14:03:00Z</dcterms:created>
  <dcterms:modified xsi:type="dcterms:W3CDTF">2026-10-18T14:04:00Z</dcterms:modified>
</cp:coreProperties>
</file>