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>в 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» г. Москва, 26 мая 2022 г.</w:t>
      </w:r>
    </w:p>
    <w:p w:rsidR="0044071B" w:rsidRPr="00E61CAA" w:rsidRDefault="0044071B" w:rsidP="004407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</w:tc>
        <w:tc>
          <w:tcPr>
            <w:tcW w:w="4673" w:type="dxa"/>
          </w:tcPr>
          <w:p w:rsidR="001F78EF" w:rsidRDefault="001F78EF" w:rsidP="001F78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Сафронов Антон Игоревич</w:t>
            </w:r>
          </w:p>
          <w:p w:rsidR="0044071B" w:rsidRDefault="001F78EF" w:rsidP="00D66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(статья в соавторстве с </w:t>
            </w:r>
            <w:r w:rsidR="00D661B2">
              <w:rPr>
                <w:rFonts w:ascii="Times New Roman" w:hAnsi="Times New Roman" w:cs="Times New Roman"/>
                <w:b/>
                <w:sz w:val="24"/>
                <w:szCs w:val="24"/>
              </w:rPr>
              <w:t>Иконниковым А.С.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ная степень, звание, должность</w:t>
            </w:r>
          </w:p>
        </w:tc>
        <w:tc>
          <w:tcPr>
            <w:tcW w:w="4673" w:type="dxa"/>
          </w:tcPr>
          <w:p w:rsidR="0044071B" w:rsidRDefault="001F78EF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кандидат технических наук, доцент, доцент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</w:tc>
        <w:tc>
          <w:tcPr>
            <w:tcW w:w="4673" w:type="dxa"/>
          </w:tcPr>
          <w:p w:rsidR="0044071B" w:rsidRDefault="001F78EF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</w:tc>
        <w:tc>
          <w:tcPr>
            <w:tcW w:w="4673" w:type="dxa"/>
          </w:tcPr>
          <w:p w:rsidR="0044071B" w:rsidRDefault="001F78EF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1F78EF" w:rsidTr="002F4DCB">
        <w:trPr>
          <w:jc w:val="center"/>
        </w:trPr>
        <w:tc>
          <w:tcPr>
            <w:tcW w:w="4672" w:type="dxa"/>
            <w:vAlign w:val="center"/>
          </w:tcPr>
          <w:p w:rsidR="001F78EF" w:rsidRDefault="001F78EF" w:rsidP="001F7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</w:tc>
        <w:tc>
          <w:tcPr>
            <w:tcW w:w="4673" w:type="dxa"/>
          </w:tcPr>
          <w:p w:rsidR="001F78EF" w:rsidRPr="000F391A" w:rsidRDefault="001F78EF" w:rsidP="001F78E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  <w:tr w:rsidR="001F78EF" w:rsidTr="002F4DCB">
        <w:trPr>
          <w:jc w:val="center"/>
        </w:trPr>
        <w:tc>
          <w:tcPr>
            <w:tcW w:w="4672" w:type="dxa"/>
            <w:vAlign w:val="center"/>
          </w:tcPr>
          <w:p w:rsidR="001F78EF" w:rsidRDefault="001F78EF" w:rsidP="001F7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1F78EF" w:rsidRDefault="001F78EF" w:rsidP="001F78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8EF" w:rsidTr="002F4DCB">
        <w:trPr>
          <w:jc w:val="center"/>
        </w:trPr>
        <w:tc>
          <w:tcPr>
            <w:tcW w:w="4672" w:type="dxa"/>
            <w:vAlign w:val="center"/>
          </w:tcPr>
          <w:p w:rsidR="001F78EF" w:rsidRDefault="001F78EF" w:rsidP="001F7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</w:tc>
        <w:tc>
          <w:tcPr>
            <w:tcW w:w="4673" w:type="dxa"/>
          </w:tcPr>
          <w:p w:rsidR="001F78EF" w:rsidRDefault="00D661B2" w:rsidP="00D66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1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Множество оцениваемых параметров результата автоматизированного построения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плановых графиков движения поездов</w:t>
            </w:r>
            <w:r w:rsidRPr="00D661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графоаналитические способы их сопоставления</w:t>
            </w:r>
          </w:p>
        </w:tc>
      </w:tr>
      <w:tr w:rsidR="001F78EF" w:rsidTr="002F4DCB">
        <w:trPr>
          <w:jc w:val="center"/>
        </w:trPr>
        <w:tc>
          <w:tcPr>
            <w:tcW w:w="4672" w:type="dxa"/>
            <w:vAlign w:val="center"/>
          </w:tcPr>
          <w:p w:rsidR="001F78EF" w:rsidRDefault="001F78EF" w:rsidP="001F7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</w:tc>
        <w:tc>
          <w:tcPr>
            <w:tcW w:w="4673" w:type="dxa"/>
          </w:tcPr>
          <w:p w:rsidR="001F78EF" w:rsidRDefault="001F78EF" w:rsidP="001F7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1F78EF" w:rsidTr="002F4DCB">
        <w:trPr>
          <w:jc w:val="center"/>
        </w:trPr>
        <w:tc>
          <w:tcPr>
            <w:tcW w:w="4672" w:type="dxa"/>
            <w:vAlign w:val="center"/>
          </w:tcPr>
          <w:p w:rsidR="001F78EF" w:rsidRDefault="001F78EF" w:rsidP="001F7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</w:tc>
        <w:tc>
          <w:tcPr>
            <w:tcW w:w="4673" w:type="dxa"/>
          </w:tcPr>
          <w:p w:rsidR="001F78EF" w:rsidRDefault="001F78EF" w:rsidP="001F7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1F78EF" w:rsidTr="002F4DCB">
        <w:trPr>
          <w:jc w:val="center"/>
        </w:trPr>
        <w:tc>
          <w:tcPr>
            <w:tcW w:w="4672" w:type="dxa"/>
            <w:vAlign w:val="center"/>
          </w:tcPr>
          <w:p w:rsidR="001F78EF" w:rsidRPr="00E372CB" w:rsidRDefault="001F78EF" w:rsidP="001F7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</w:tc>
        <w:tc>
          <w:tcPr>
            <w:tcW w:w="4673" w:type="dxa"/>
          </w:tcPr>
          <w:p w:rsidR="001F78EF" w:rsidRDefault="00B5356B" w:rsidP="001F7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1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Множество оцениваемых параметров результата автоматизированного построения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плановых графиков движения поездов</w:t>
            </w:r>
            <w:r w:rsidRPr="00D661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графоаналитические способы их сопоставления</w:t>
            </w:r>
          </w:p>
        </w:tc>
      </w:tr>
    </w:tbl>
    <w:p w:rsidR="0044071B" w:rsidRDefault="0044071B" w:rsidP="0044071B"/>
    <w:p w:rsidR="00BB32F3" w:rsidRDefault="00BB32F3"/>
    <w:sectPr w:rsidR="00BB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1B"/>
    <w:rsid w:val="001F78EF"/>
    <w:rsid w:val="0044071B"/>
    <w:rsid w:val="007C0F67"/>
    <w:rsid w:val="00B5356B"/>
    <w:rsid w:val="00BB32F3"/>
    <w:rsid w:val="00CC6C22"/>
    <w:rsid w:val="00D661B2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40A7F-6A9B-49E6-86C1-0FD699AE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71B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71B"/>
    <w:pPr>
      <w:spacing w:line="240" w:lineRule="auto"/>
      <w:ind w:firstLine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5</cp:revision>
  <dcterms:created xsi:type="dcterms:W3CDTF">2022-02-06T13:29:00Z</dcterms:created>
  <dcterms:modified xsi:type="dcterms:W3CDTF">2024-02-24T15:16:00Z</dcterms:modified>
</cp:coreProperties>
</file>