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Оцінка надійності партнерів</w:t>
      </w:r>
    </w:p>
    <w:p>
      <w:pPr>
        <w:spacing w:after="40"/>
      </w:pPr>
      <w:r>
        <w:rPr>
          <w:color w:val="808080"/>
          <w:sz w:val="18"/>
          <w:szCs w:val="18"/>
        </w:rPr>
        <w:t xml:space="preserve">Внутрішній висновок щодо можливості партнерства   •   </w:t>
      </w:r>
      <w:r>
        <w:rPr>
          <w:color w:val="808080"/>
          <w:sz w:val="18"/>
          <w:szCs w:val="18"/>
        </w:rPr>
        <w:t xml:space="preserve">Станом на 08.07.2026</w:t>
      </w:r>
    </w:p>
    <w:p>
      <w:pPr>
        <w:pBdr>
          <w:bottom w:val="single" w:color="1F3864" w:sz="6" w:space="1"/>
        </w:pBdr>
        <w:spacing w:after="160"/>
      </w:pPr>
      <w:r>
        <w:t xml:space="preserve"/>
      </w:r>
    </w:p>
    <w:p>
      <w:pPr>
        <w:spacing w:after="100"/>
      </w:pPr>
      <w:r>
        <w:rPr>
          <w:b/>
          <w:bCs/>
          <w:color w:val="1F3864"/>
          <w:sz w:val="24"/>
          <w:szCs w:val="24"/>
        </w:rPr>
        <w:t xml:space="preserve">Зведена таблиця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900"/>
        <w:gridCol w:w="2000"/>
        <w:gridCol w:w="19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Компанія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Країна (ризик)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Скоринг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Реком. ліміт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 / умови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GRUPOTEC Servicios Avanzados SA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Іспанія (A2)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7/10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16 947 000 CZK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145"/>
                <w:sz w:val="18"/>
                <w:szCs w:val="18"/>
              </w:rPr>
              <w:t xml:space="preserve">Зелений</w:t>
            </w:r>
          </w:p>
          <w:p>
            <w:r>
              <w:rPr>
                <w:sz w:val="15"/>
                <w:szCs w:val="15"/>
              </w:rPr>
              <w:t xml:space="preserve">Звичайні умови, відстрочка можлива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GRUPOTEC Servicios de Ingenieria SL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Іспанія (A2)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6/10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4 842 000 CZK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145"/>
                <w:sz w:val="18"/>
                <w:szCs w:val="18"/>
              </w:rPr>
              <w:t xml:space="preserve">Зелений</w:t>
            </w:r>
          </w:p>
          <w:p>
            <w:r>
              <w:rPr>
                <w:sz w:val="15"/>
                <w:szCs w:val="15"/>
              </w:rPr>
              <w:t xml:space="preserve">Звичайні умови, помірна відстрочка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ALECTRIS Italia S.R.L.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Італія (B)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5/10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1 815 000 CZK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6500"/>
                <w:sz w:val="18"/>
                <w:szCs w:val="18"/>
              </w:rPr>
              <w:t xml:space="preserve">Жовтий</w:t>
            </w:r>
          </w:p>
          <w:p>
            <w:r>
              <w:rPr>
                <w:sz w:val="15"/>
                <w:szCs w:val="15"/>
              </w:rPr>
              <w:t xml:space="preserve">Обмежений ліміт, часткова передоплата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Soluxe Energie, s. r. o.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Словаччина (A4)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4/10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CZK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0006"/>
                <w:sz w:val="18"/>
                <w:szCs w:val="18"/>
              </w:rPr>
              <w:t xml:space="preserve">Червоний</w:t>
            </w:r>
          </w:p>
          <w:p>
            <w:r>
              <w:rPr>
                <w:sz w:val="15"/>
                <w:szCs w:val="15"/>
              </w:rPr>
              <w:t xml:space="preserve">Тільки 100% передоплата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Висновки по кожному партнеру</w:t>
      </w:r>
    </w:p>
    <w:p>
      <w:pPr>
        <w:pStyle w:val="Heading2"/>
        <w:spacing w:after="100" w:before="120"/>
      </w:pPr>
      <w:r>
        <w:t xml:space="preserve">1. GRUPOTEC Servicios Avanzados SA (Іспанія)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Сильні сторони: </w:t>
      </w:r>
      <w:r>
        <w:rPr>
          <w:sz w:val="19"/>
          <w:szCs w:val="19"/>
        </w:rPr>
        <w:t xml:space="preserve">Найвищий скоринг групи (7/10), стабільна країна (A2, низький ризик), найбільший рекомендований ліміт — 16,9 млн CZK. Материнська компанія групи Grupotec, аудитор Grant Thornton. Прострочок за 60 місяців немає.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Слабкі сторони / ризики: </w:t>
      </w:r>
      <w:r>
        <w:rPr>
          <w:sz w:val="19"/>
          <w:szCs w:val="19"/>
        </w:rPr>
        <w:t xml:space="preserve">Відмічена слабка прибутковість. Це не критично при сильному балансі, але варто тримати в полі зору.</w:t>
      </w:r>
    </w:p>
    <w:p>
      <w:pPr>
        <w:pBdr>
          <w:top w:val="single" w:color="C6EFCE" w:sz="4"/>
          <w:bottom w:val="single" w:color="C6EFCE" w:sz="4"/>
        </w:pBdr>
        <w:shd w:fill="C6EFCE" w:val="clear"/>
        <w:spacing w:after="60" w:before="60"/>
        <w:ind w:left="100" w:right="100"/>
      </w:pPr>
      <w:r>
        <w:rPr>
          <w:b/>
          <w:bCs/>
          <w:sz w:val="19"/>
          <w:szCs w:val="19"/>
        </w:rPr>
        <w:t xml:space="preserve">ВЕРДИКТ: </w:t>
      </w:r>
      <w:r>
        <w:rPr>
          <w:sz w:val="19"/>
          <w:szCs w:val="19"/>
        </w:rPr>
        <w:t xml:space="preserve">Найнадійніший партнер із чотирьох. Можна працювати на звичайних умовах, у т.ч. з відстрочкою платежу в межах рекомендованого ліміту.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Наступний крок: </w:t>
      </w:r>
      <w:r>
        <w:rPr>
          <w:sz w:val="19"/>
          <w:szCs w:val="19"/>
        </w:rPr>
        <w:t xml:space="preserve">Достатньо стандартної перевірки. Оновлювати звіт раз на 6–12 місяців.</w:t>
      </w:r>
    </w:p>
    <w:p>
      <w:pPr>
        <w:pStyle w:val="Heading2"/>
        <w:spacing w:after="100" w:before="240"/>
      </w:pPr>
      <w:r>
        <w:t xml:space="preserve">2. GRUPOTEC Servicios de Ingenieria SL (Іспанія)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Сильні сторони: </w:t>
      </w:r>
      <w:r>
        <w:rPr>
          <w:sz w:val="19"/>
          <w:szCs w:val="19"/>
        </w:rPr>
        <w:t xml:space="preserve">Хороший скоринг (6/10), та сама стабільна країна (A2), ліміт 4,8 млн CZK. Дочірня компанія Grupotec Servicios Avanzados (100% власності), оцінка базується на стані всієї групи. Прострочок немає.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Слабкі сторони / ризики: </w:t>
      </w:r>
      <w:r>
        <w:rPr>
          <w:sz w:val="19"/>
          <w:szCs w:val="19"/>
        </w:rPr>
        <w:t xml:space="preserve">Ліміт помітно нижчий за материнську; фінансова самостійність обмежена (залежить від групи). Сектор-ризик ще збирається.</w:t>
      </w:r>
    </w:p>
    <w:p>
      <w:pPr>
        <w:pBdr>
          <w:top w:val="single" w:color="C6EFCE" w:sz="4"/>
          <w:bottom w:val="single" w:color="C6EFCE" w:sz="4"/>
        </w:pBdr>
        <w:shd w:fill="C6EFCE" w:val="clear"/>
        <w:spacing w:after="60" w:before="60"/>
        <w:ind w:left="100" w:right="100"/>
      </w:pPr>
      <w:r>
        <w:rPr>
          <w:b/>
          <w:bCs/>
          <w:sz w:val="19"/>
          <w:szCs w:val="19"/>
        </w:rPr>
        <w:t xml:space="preserve">ВЕРДИКТ: </w:t>
      </w:r>
      <w:r>
        <w:rPr>
          <w:sz w:val="19"/>
          <w:szCs w:val="19"/>
        </w:rPr>
        <w:t xml:space="preserve">Надійний партнер. Звичайні умови роботи з помірною відстрочкою в межах ліміту.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Наступний крок: </w:t>
      </w:r>
      <w:r>
        <w:rPr>
          <w:sz w:val="19"/>
          <w:szCs w:val="19"/>
        </w:rPr>
        <w:t xml:space="preserve">Врахувати, що надійність фактично прив’язана до стану всієї групи Grupotec — відстежувати материнську компанію разом із нею.</w:t>
      </w:r>
    </w:p>
    <w:p>
      <w:pPr>
        <w:pStyle w:val="Heading2"/>
        <w:spacing w:after="100" w:before="240"/>
      </w:pPr>
      <w:r>
        <w:t xml:space="preserve">3. ALECTRIS Italia S.R.L. (Італія)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Сильні сторони: </w:t>
      </w:r>
      <w:r>
        <w:rPr>
          <w:sz w:val="19"/>
          <w:szCs w:val="19"/>
        </w:rPr>
        <w:t xml:space="preserve">Середній скоринг (5/10), прострочок за 60 місяців немає. Входить до групи Alectris (грецькі власники Alectris / Agrology Holding).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Слабкі сторони / ризики: </w:t>
      </w:r>
      <w:r>
        <w:rPr>
          <w:sz w:val="19"/>
          <w:szCs w:val="19"/>
        </w:rPr>
        <w:t xml:space="preserve">Ризик країни B (fairly high risk) — вищий, ніж в іспанських компаній. Слабка прибутковість. Невеликий ліміт — лише 1,8 млн CZK, що сигналізує про помірний рівень довіри.</w:t>
      </w:r>
    </w:p>
    <w:p>
      <w:pPr>
        <w:pBdr>
          <w:top w:val="single" w:color="FFEB9C" w:sz="4"/>
          <w:bottom w:val="single" w:color="FFEB9C" w:sz="4"/>
        </w:pBdr>
        <w:shd w:fill="FFEB9C" w:val="clear"/>
        <w:spacing w:after="60" w:before="60"/>
        <w:ind w:left="100" w:right="100"/>
      </w:pPr>
      <w:r>
        <w:rPr>
          <w:b/>
          <w:bCs/>
          <w:sz w:val="19"/>
          <w:szCs w:val="19"/>
        </w:rPr>
        <w:t xml:space="preserve">ВЕРДИКТ: </w:t>
      </w:r>
      <w:r>
        <w:rPr>
          <w:sz w:val="19"/>
          <w:szCs w:val="19"/>
        </w:rPr>
        <w:t xml:space="preserve">Прийнятний партнер із застереженнями. Працювати з обмеженим лімітом і, для перших угод, частковою передоплатою. Відстрочку — тільки в межах суми, яку не шкода.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Наступний крок: </w:t>
      </w:r>
      <w:r>
        <w:rPr>
          <w:sz w:val="19"/>
          <w:szCs w:val="19"/>
        </w:rPr>
        <w:t xml:space="preserve">Перед великою угодою — уточнити свіжу фінзвітність і зв’язки з материнською групою Alectris. Дочекатися сектор-ризику (у процесі збору).</w:t>
      </w:r>
    </w:p>
    <w:p>
      <w:pPr>
        <w:pStyle w:val="Heading2"/>
        <w:spacing w:after="100" w:before="240"/>
      </w:pPr>
      <w:r>
        <w:t xml:space="preserve">4. Soluxe Energie, s. r. o. (Словаччина)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Сильні сторони: </w:t>
      </w:r>
      <w:r>
        <w:rPr>
          <w:sz w:val="19"/>
          <w:szCs w:val="19"/>
        </w:rPr>
        <w:t xml:space="preserve">Формально прострочок немає — але це лише тому, що компанія молода і кредитної історії майже немає.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Слабкі сторони / ризики: </w:t>
      </w:r>
      <w:r>
        <w:rPr>
          <w:sz w:val="19"/>
          <w:szCs w:val="19"/>
        </w:rPr>
        <w:t xml:space="preserve">Найслабший профіль: скоринг 4/10, ризик країни A4, і головне — рекомендований ліміт 0 CZK та слабкий фінансовий стан. Компанія зареєстрована лише 04.04.2023, статутний капітал — 5 000 EUR. Власник і директор — фізособи (Zhyhun, Starchenko).</w:t>
      </w:r>
    </w:p>
    <w:p>
      <w:pPr>
        <w:pBdr>
          <w:top w:val="single" w:color="FFC7CE" w:sz="4"/>
          <w:bottom w:val="single" w:color="FFC7CE" w:sz="4"/>
        </w:pBdr>
        <w:shd w:fill="FFC7CE" w:val="clear"/>
        <w:spacing w:after="60" w:before="60"/>
        <w:ind w:left="100" w:right="100"/>
      </w:pPr>
      <w:r>
        <w:rPr>
          <w:b/>
          <w:bCs/>
          <w:sz w:val="19"/>
          <w:szCs w:val="19"/>
        </w:rPr>
        <w:t xml:space="preserve">ВЕРДИКТ: </w:t>
      </w:r>
      <w:r>
        <w:rPr>
          <w:sz w:val="19"/>
          <w:szCs w:val="19"/>
        </w:rPr>
        <w:t xml:space="preserve">Високий ризик. Рекомендований ліміт 0 = працювати тільки за 100% передоплатою. Жодної відстрочки та товарного кредиту.</w:t>
      </w:r>
    </w:p>
    <w:p>
      <w:pPr>
        <w:spacing w:after="40"/>
        <w:ind w:left="200"/>
      </w:pPr>
      <w:r>
        <w:rPr>
          <w:b/>
          <w:bCs/>
          <w:sz w:val="19"/>
          <w:szCs w:val="19"/>
        </w:rPr>
        <w:t xml:space="preserve">Наступний крок: </w:t>
      </w:r>
      <w:r>
        <w:rPr>
          <w:sz w:val="19"/>
          <w:szCs w:val="19"/>
        </w:rPr>
        <w:t xml:space="preserve">Якщо співпраця потрібна — починати з малих обсягів за передоплатою, зібрати установчі документи, підтвердження діяльності та контактів. Повторна перевірка через 6–12 місяців роботи.</w:t>
      </w:r>
    </w:p>
    <w:p>
      <w:pPr>
        <w:pStyle w:val="Heading1"/>
        <w:spacing w:after="120" w:before="300"/>
      </w:pPr>
      <w:r>
        <w:t xml:space="preserve">Як читати статуси (методика)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Коли присвоюємо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Умови роботи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145"/>
                <w:sz w:val="18"/>
                <w:szCs w:val="18"/>
              </w:rPr>
              <w:t xml:space="preserve">Зелений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Скоринг ≥ 6/10, суттєвий рекомендований ліміт, стабільна країна, без прострочок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Звичайні умови, можлива відстрочка в межах ліміту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6500"/>
                <w:sz w:val="18"/>
                <w:szCs w:val="18"/>
              </w:rPr>
              <w:t xml:space="preserve">Жовтий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Скоринг 4–5/10, невеликий ліміт, підвищений ризик країни або слабка прибутковість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Обмежений ліміт, часткова передоплата, обережна відстрочка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0006"/>
                <w:sz w:val="18"/>
                <w:szCs w:val="18"/>
              </w:rPr>
              <w:t xml:space="preserve">Червоний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Ліміт 0 CZK, скоринг ≤ 3/10, слабкий фінстан або дуже молода компанія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Тільки 100% передоплата, без товарного кредиту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Важливо. </w:t>
      </w:r>
      <w:r>
        <w:t xml:space="preserve">Відсутність прострочок за 60 місяців у всіх чотирьох — це відсутність негативу, а не гарантія платоспроможності. Для молодих компаній (як Soluxe) цей показник майже нічого не важить. Рішення завжди спираємо на зв’язку «скоринг + ліміт + фінстан», а не на один показник.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2026-07-08T13:47:48.841Z</dcterms:created>
  <dcterms:modified xsi:type="dcterms:W3CDTF">2026-07-08T13:47:48.841Z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