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ind w:firstLine="0"/>
        <w:jc w:val="center"/>
      </w:pPr>
      <w:r>
        <w:rPr>
          <w:rFonts w:ascii="Times New Roman" w:hAnsi="Times New Roman" w:cs="Times New Roman" w:eastAsia="Times New Roman"/>
          <w:b/>
          <w:sz w:val="24"/>
        </w:rPr>
        <w:t>Сценарии использования языка программирования Loom</w:t>
      </w:r>
    </w:p>
    <w:p>
      <w:r>
        <w:rPr>
          <w:rFonts w:ascii="Times New Roman" w:hAnsi="Times New Roman" w:cs="Times New Roman" w:eastAsia="Times New Roman"/>
        </w:rPr>
        <w:t>Сценарии описывают основные варианты взаимодействия стейкхолдеров с системой: компиляцию программы (UC-1), её запуск (UC-2), подключение внешней нативной библиотеки (UC-3) и изучение промежуточных представлений (UC-4). Идентификаторы стейкхолдеров соответствуют документу «Первичный анализ продукта».</w:t>
      </w:r>
    </w:p>
    <w:p>
      <w:pPr>
        <w:keepNext/>
      </w:pPr>
      <w:r>
        <w:rPr>
          <w:rFonts w:ascii="Times New Roman" w:hAnsi="Times New Roman" w:cs="Times New Roman" w:eastAsia="Times New Roman"/>
        </w:rPr>
        <w:t>Сценарий 1 представлен на рисунке 1 и таблице 1.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468399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-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6839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ind w:firstLine="0"/>
        <w:jc w:val="center"/>
      </w:pPr>
      <w:r>
        <w:rPr>
          <w:rFonts w:ascii="Times New Roman" w:hAnsi="Times New Roman" w:cs="Times New Roman" w:eastAsia="Times New Roman"/>
        </w:rPr>
        <w:t>Рисунок 1 – Диаграмма сценария «Компиляция многофайловой программы»</w:t>
      </w:r>
    </w:p>
    <w:p>
      <w:pPr>
        <w:keepNext/>
        <w:spacing w:before="120"/>
        <w:ind w:firstLine="0"/>
        <w:jc w:val="left"/>
      </w:pPr>
      <w:r>
        <w:rPr>
          <w:rFonts w:ascii="Times New Roman" w:hAnsi="Times New Roman" w:cs="Times New Roman" w:eastAsia="Times New Roman"/>
        </w:rPr>
        <w:t>Таблица 1 – Сценарий 1</w:t>
      </w:r>
    </w:p>
    <w:tbl>
      <w:tblPr>
        <w:tblW w:type="auto" w:w="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85" w:type="dxa"/>
          <w:right w:w="85" w:type="dxa"/>
        </w:tblCellMar>
        <w:tblLook w:firstColumn="1" w:firstRow="1" w:lastColumn="0" w:lastRow="0" w:noHBand="0" w:noVBand="1" w:val="04A0"/>
      </w:tblPr>
      <w:tblGrid>
        <w:gridCol w:w="2154"/>
        <w:gridCol w:w="7200"/>
      </w:tblGrid>
      <w:tr>
        <w:trPr/>
        <w:tc>
          <w:tcPr>
            <w:tcW w:type="dxa" w:w="2154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Наименование</w:t>
            </w:r>
          </w:p>
        </w:tc>
        <w:tc>
          <w:tcPr>
            <w:tcW w:type="dxa" w:w="7200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Компиляция многофайловой программы</w:t>
            </w:r>
          </w:p>
        </w:tc>
      </w:tr>
      <w:tr>
        <w:trPr/>
        <w:tc>
          <w:tcPr>
            <w:tcW w:type="dxa" w:w="2154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Идентификатор</w:t>
            </w:r>
          </w:p>
        </w:tc>
        <w:tc>
          <w:tcPr>
            <w:tcW w:type="dxa" w:w="7200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UC-1</w:t>
            </w:r>
          </w:p>
        </w:tc>
      </w:tr>
      <w:tr>
        <w:trPr/>
        <w:tc>
          <w:tcPr>
            <w:tcW w:type="dxa" w:w="2154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Основной актор</w:t>
            </w:r>
          </w:p>
        </w:tc>
        <w:tc>
          <w:tcPr>
            <w:tcW w:type="dxa" w:w="7200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Программист (StH-01)</w:t>
            </w:r>
          </w:p>
        </w:tc>
      </w:tr>
      <w:tr>
        <w:trPr/>
        <w:tc>
          <w:tcPr>
            <w:tcW w:type="dxa" w:w="2154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Предусловие</w:t>
            </w:r>
          </w:p>
        </w:tc>
        <w:tc>
          <w:tcPr>
            <w:tcW w:type="dxa" w:w="7200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Компилятор установлен; главный файл и импортируемые им файлы существуют; в главном файле объявлена функция main.</w:t>
            </w:r>
          </w:p>
        </w:tc>
      </w:tr>
      <w:tr>
        <w:trPr/>
        <w:tc>
          <w:tcPr>
            <w:tcW w:type="dxa" w:w="2154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Основной поток событий</w:t>
            </w:r>
          </w:p>
        </w:tc>
        <w:tc>
          <w:tcPr>
            <w:tcW w:type="dxa" w:w="7200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1. Программист запускает компилятор командой loomc build main.loom -o app.lbc.</w:t>
            </w:r>
          </w:p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2. Компилятор читает главный файл и выполняет лексический анализ: разбивает текст на токены с позициями.</w:t>
            </w:r>
          </w:p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3. Компилятор выполняет синтаксический анализ и строит синтаксическое дерево файла.</w:t>
            </w:r>
          </w:p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4. Компилятор находит директивы import и для каждого ещё не обработанного файла повторяет шаги 2–3, проверяя отсутствие циклических импортов.</w:t>
            </w:r>
          </w:p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5. Компилятор выполняет семантический анализ всех модулей: разрешает имена, проверяет типы выражений, вызовы функций, обращения к полям структур и наличие функции main.</w:t>
            </w:r>
          </w:p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6. Компилятор генерирует байткод функций всех модулей и формирует таблицы констант, имён, структур, нативных импортов и отладочную информацию.</w:t>
            </w:r>
          </w:p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7. Компилятор записывает файл байткода app.lbc.</w:t>
            </w:r>
          </w:p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8. Компилятор выводит сообщение об успешной сборке (число модулей, функций, размер файла, время) и завершается с кодом 0.</w:t>
            </w:r>
          </w:p>
        </w:tc>
      </w:tr>
      <w:tr>
        <w:trPr/>
        <w:tc>
          <w:tcPr>
            <w:tcW w:type="dxa" w:w="2154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Альтернативные потоки</w:t>
            </w:r>
          </w:p>
        </w:tc>
        <w:tc>
          <w:tcPr>
            <w:tcW w:type="dxa" w:w="7200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Альтернативный поток 1. На шагах 2–3 найдены лексические или синтаксические ошибки – компилятор выводит все ошибки в формате «файл:строка:столбец: ошибка Eкод: текст», продолжая разбор после ошибки; файл байткода не создаётся, код завершения 1.</w:t>
            </w:r>
          </w:p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Альтернативный поток 2. На шаге 4 импортируемый файл не найден – компилятор выводит сообщение с позицией директивы import и искомым путём; код завершения 1.</w:t>
            </w:r>
          </w:p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Альтернативный поток 3. На шаге 4 обнаружен циклический импорт – компилятор выводит цепочку файлов (a.loom → b.loom → a.loom); код завершения 1.</w:t>
            </w:r>
          </w:p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Альтернативный поток 4. На шаге 5 найдены семантические ошибки (несовпадение типов, неизвестное имя, неверное число аргументов, отсутствует main) – компилятор выводит все ошибки с позициями; код завершения 1.</w:t>
            </w:r>
          </w:p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Альтернативный поток 5. На шаге 7 файл не может быть записан (нет прав или каталог не существует) – компилятор выводит сообщение; код завершения 2.</w:t>
            </w:r>
          </w:p>
        </w:tc>
      </w:tr>
      <w:tr>
        <w:trPr/>
        <w:tc>
          <w:tcPr>
            <w:tcW w:type="dxa" w:w="2154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Постусловие</w:t>
            </w:r>
          </w:p>
        </w:tc>
        <w:tc>
          <w:tcPr>
            <w:tcW w:type="dxa" w:w="7200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Создан файл байткода, содержащий код всех модулей программы, либо выведен полный список ошибок и файл не создан (ранее существовавший файл не изменён).</w:t>
            </w:r>
          </w:p>
        </w:tc>
      </w:tr>
      <w:tr>
        <w:trPr/>
        <w:tc>
          <w:tcPr>
            <w:tcW w:type="dxa" w:w="2154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Специальные требования</w:t>
            </w:r>
          </w:p>
        </w:tc>
        <w:tc>
          <w:tcPr>
            <w:tcW w:type="dxa" w:w="7200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Исходные файлы – в кодировке UTF-8. Сообщения выводятся на русском языке. Программа из 5000 строк должна компилироваться за несколько секунд.</w:t>
            </w:r>
          </w:p>
        </w:tc>
      </w:tr>
    </w:tbl>
    <w:p>
      <w:pPr>
        <w:spacing w:line="240" w:lineRule="auto"/>
      </w:pPr>
    </w:p>
    <w:p>
      <w:pPr>
        <w:keepNext/>
      </w:pPr>
      <w:r>
        <w:rPr>
          <w:rFonts w:ascii="Times New Roman" w:hAnsi="Times New Roman" w:cs="Times New Roman" w:eastAsia="Times New Roman"/>
        </w:rPr>
        <w:t>Сценарий 2 представлен на рисунке 2 и таблице 2.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40837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-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837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ind w:firstLine="0"/>
        <w:jc w:val="center"/>
      </w:pPr>
      <w:r>
        <w:rPr>
          <w:rFonts w:ascii="Times New Roman" w:hAnsi="Times New Roman" w:cs="Times New Roman" w:eastAsia="Times New Roman"/>
        </w:rPr>
        <w:t>Рисунок 2 – Диаграмма сценария «Запуск программы в виртуальной машине»</w:t>
      </w:r>
    </w:p>
    <w:p>
      <w:pPr>
        <w:keepNext/>
        <w:spacing w:before="120"/>
        <w:ind w:firstLine="0"/>
        <w:jc w:val="left"/>
      </w:pPr>
      <w:r>
        <w:rPr>
          <w:rFonts w:ascii="Times New Roman" w:hAnsi="Times New Roman" w:cs="Times New Roman" w:eastAsia="Times New Roman"/>
        </w:rPr>
        <w:t>Таблица 2 – Сценарий 2</w:t>
      </w:r>
    </w:p>
    <w:tbl>
      <w:tblPr>
        <w:tblW w:type="auto" w:w="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85" w:type="dxa"/>
          <w:right w:w="85" w:type="dxa"/>
        </w:tblCellMar>
        <w:tblLook w:firstColumn="1" w:firstRow="1" w:lastColumn="0" w:lastRow="0" w:noHBand="0" w:noVBand="1" w:val="04A0"/>
      </w:tblPr>
      <w:tblGrid>
        <w:gridCol w:w="2154"/>
        <w:gridCol w:w="7200"/>
      </w:tblGrid>
      <w:tr>
        <w:trPr/>
        <w:tc>
          <w:tcPr>
            <w:tcW w:type="dxa" w:w="2154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Наименование</w:t>
            </w:r>
          </w:p>
        </w:tc>
        <w:tc>
          <w:tcPr>
            <w:tcW w:type="dxa" w:w="7200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Запуск программы в виртуальной машине</w:t>
            </w:r>
          </w:p>
        </w:tc>
      </w:tr>
      <w:tr>
        <w:trPr/>
        <w:tc>
          <w:tcPr>
            <w:tcW w:type="dxa" w:w="2154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Идентификатор</w:t>
            </w:r>
          </w:p>
        </w:tc>
        <w:tc>
          <w:tcPr>
            <w:tcW w:type="dxa" w:w="7200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UC-2</w:t>
            </w:r>
          </w:p>
        </w:tc>
      </w:tr>
      <w:tr>
        <w:trPr/>
        <w:tc>
          <w:tcPr>
            <w:tcW w:type="dxa" w:w="2154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Основной актор</w:t>
            </w:r>
          </w:p>
        </w:tc>
        <w:tc>
          <w:tcPr>
            <w:tcW w:type="dxa" w:w="7200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Программист (StH-01)</w:t>
            </w:r>
          </w:p>
        </w:tc>
      </w:tr>
      <w:tr>
        <w:trPr/>
        <w:tc>
          <w:tcPr>
            <w:tcW w:type="dxa" w:w="2154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Предусловие</w:t>
            </w:r>
          </w:p>
        </w:tc>
        <w:tc>
          <w:tcPr>
            <w:tcW w:type="dxa" w:w="7200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Имеется файл байткода, созданный компилятором совместимой версии; виртуальная машина установлена.</w:t>
            </w:r>
          </w:p>
        </w:tc>
      </w:tr>
      <w:tr>
        <w:trPr/>
        <w:tc>
          <w:tcPr>
            <w:tcW w:type="dxa" w:w="2154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Основной поток событий</w:t>
            </w:r>
          </w:p>
        </w:tc>
        <w:tc>
          <w:tcPr>
            <w:tcW w:type="dxa" w:w="7200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1. Программист запускает виртуальную машину командой loom app.lbc с аргументами программы.</w:t>
            </w:r>
          </w:p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2. Виртуальная машина читает файл и проверяет сигнатуру «LOOM» и версию формата.</w:t>
            </w:r>
          </w:p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3. Виртуальная машина загружает таблицы констант, имён, структур, функций и нативных импортов.</w:t>
            </w:r>
          </w:p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4. Виртуальная машина проверяет байткод: адреса переходов, индексы констант, функций, полей и локальных переменных.</w:t>
            </w:r>
          </w:p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5. Виртуальная машина связывает нативные импорты с функциями стандартной библиотеки и внешних библиотек, сверяя сигнатуры.</w:t>
            </w:r>
          </w:p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6. Виртуальная машина создаёт кадр вызова функции main и выполняет инструкции.</w:t>
            </w:r>
          </w:p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7. Программа взаимодействует с пользователем через функции модуля console (вывод, ввод строк, аргументы командной строки).</w:t>
            </w:r>
          </w:p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8. После возврата из main виртуальная машина освобождает память и завершает работу с кодом, возвращённым main (0 – если main не возвращает значение).</w:t>
            </w:r>
          </w:p>
        </w:tc>
      </w:tr>
      <w:tr>
        <w:trPr/>
        <w:tc>
          <w:tcPr>
            <w:tcW w:type="dxa" w:w="2154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Альтернативные потоки</w:t>
            </w:r>
          </w:p>
        </w:tc>
        <w:tc>
          <w:tcPr>
            <w:tcW w:type="dxa" w:w="7200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Альтернативный поток 1. На шаге 2 сигнатура не совпадает или версия формата не поддерживается – выводится сообщение («файл не является байткодом Loom» или «версия формата X.Y не поддерживается»), код завершения 71, выполнение не начинается.</w:t>
            </w:r>
          </w:p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Альтернативный поток 2. На шаге 4 проверка не пройдена (файл повреждён) – выводится сообщение с указанием функции и смещения инструкции, код завершения 71.</w:t>
            </w:r>
          </w:p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Альтернативный поток 3. На шаге 5 нативная функция не найдена или её сигнатура не совпадает – выводится сообщение с именем библиотеки и функции, код завершения 71; ни одна инструкция программы не выполнена.</w:t>
            </w:r>
          </w:p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Альтернативный поток 4. На шаге 6 возникает ошибка времени выполнения (деление на ноль, выход за границы массива, переполнение стека вызовов, ошибка нативной функции) – выводятся текст ошибки и стек вызовов с файлами и строками, ресурсы освобождаются, код завершения 70.</w:t>
            </w:r>
          </w:p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Альтернативный поток 5. На шаге 7 входной поток исчерпан (конец файла при перенаправленном вводе) – функция console.readLine не может вернуть очередную строку.</w:t>
            </w:r>
          </w:p>
        </w:tc>
      </w:tr>
      <w:tr>
        <w:trPr/>
        <w:tc>
          <w:tcPr>
            <w:tcW w:type="dxa" w:w="2154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Постусловие</w:t>
            </w:r>
          </w:p>
        </w:tc>
        <w:tc>
          <w:tcPr>
            <w:tcW w:type="dxa" w:w="7200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Программа выполнена, виртуальная машина вернула код main, либо выведено сообщение об ошибке загрузки или выполнения с соответствующим кодом; память освобождена.</w:t>
            </w:r>
          </w:p>
        </w:tc>
      </w:tr>
      <w:tr>
        <w:trPr/>
        <w:tc>
          <w:tcPr>
            <w:tcW w:type="dxa" w:w="2154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Специальные требования</w:t>
            </w:r>
          </w:p>
        </w:tc>
        <w:tc>
          <w:tcPr>
            <w:tcW w:type="dxa" w:w="7200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Один и тот же файл байткода в Windows и Linux должен давать одинаковый вывод. Повреждённый файл не должен приводить к аварийному завершению виртуальной машины.</w:t>
            </w:r>
          </w:p>
        </w:tc>
      </w:tr>
    </w:tbl>
    <w:p>
      <w:pPr>
        <w:spacing w:line="240" w:lineRule="auto"/>
      </w:pPr>
    </w:p>
    <w:p>
      <w:pPr>
        <w:keepNext/>
      </w:pPr>
      <w:r>
        <w:rPr>
          <w:rFonts w:ascii="Times New Roman" w:hAnsi="Times New Roman" w:cs="Times New Roman" w:eastAsia="Times New Roman"/>
        </w:rPr>
        <w:t>Сценарий 3 представлен на рисунке 3 и таблице 3.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48026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-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802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ind w:firstLine="0"/>
        <w:jc w:val="center"/>
      </w:pPr>
      <w:r>
        <w:rPr>
          <w:rFonts w:ascii="Times New Roman" w:hAnsi="Times New Roman" w:cs="Times New Roman" w:eastAsia="Times New Roman"/>
        </w:rPr>
        <w:t>Рисунок 3 – Диаграмма сценария «Подключение внешней нативной библиотеки»</w:t>
      </w:r>
    </w:p>
    <w:p>
      <w:pPr>
        <w:keepNext/>
        <w:spacing w:before="120"/>
        <w:ind w:firstLine="0"/>
        <w:jc w:val="left"/>
      </w:pPr>
      <w:r>
        <w:rPr>
          <w:rFonts w:ascii="Times New Roman" w:hAnsi="Times New Roman" w:cs="Times New Roman" w:eastAsia="Times New Roman"/>
        </w:rPr>
        <w:t>Таблица 3 – Сценарий 3</w:t>
      </w:r>
    </w:p>
    <w:tbl>
      <w:tblPr>
        <w:tblW w:type="auto" w:w="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85" w:type="dxa"/>
          <w:right w:w="85" w:type="dxa"/>
        </w:tblCellMar>
        <w:tblLook w:firstColumn="1" w:firstRow="1" w:lastColumn="0" w:lastRow="0" w:noHBand="0" w:noVBand="1" w:val="04A0"/>
      </w:tblPr>
      <w:tblGrid>
        <w:gridCol w:w="2154"/>
        <w:gridCol w:w="7200"/>
      </w:tblGrid>
      <w:tr>
        <w:trPr/>
        <w:tc>
          <w:tcPr>
            <w:tcW w:type="dxa" w:w="2154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Наименование</w:t>
            </w:r>
          </w:p>
        </w:tc>
        <w:tc>
          <w:tcPr>
            <w:tcW w:type="dxa" w:w="7200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Подключение внешней нативной библиотеки</w:t>
            </w:r>
          </w:p>
        </w:tc>
      </w:tr>
      <w:tr>
        <w:trPr/>
        <w:tc>
          <w:tcPr>
            <w:tcW w:type="dxa" w:w="2154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Идентификатор</w:t>
            </w:r>
          </w:p>
        </w:tc>
        <w:tc>
          <w:tcPr>
            <w:tcW w:type="dxa" w:w="7200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UC-3</w:t>
            </w:r>
          </w:p>
        </w:tc>
      </w:tr>
      <w:tr>
        <w:trPr/>
        <w:tc>
          <w:tcPr>
            <w:tcW w:type="dxa" w:w="2154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Основной актор</w:t>
            </w:r>
          </w:p>
        </w:tc>
        <w:tc>
          <w:tcPr>
            <w:tcW w:type="dxa" w:w="7200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Автор нативной библиотеки (StH-02)</w:t>
            </w:r>
          </w:p>
        </w:tc>
      </w:tr>
      <w:tr>
        <w:trPr/>
        <w:tc>
          <w:tcPr>
            <w:tcW w:type="dxa" w:w="2154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Предусловие</w:t>
            </w:r>
          </w:p>
        </w:tc>
        <w:tc>
          <w:tcPr>
            <w:tcW w:type="dxa" w:w="7200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У автора есть компилятор C/C++ для целевой ОС и заголовочный файл loom_native.h из поставки системы.</w:t>
            </w:r>
          </w:p>
        </w:tc>
      </w:tr>
      <w:tr>
        <w:trPr/>
        <w:tc>
          <w:tcPr>
            <w:tcW w:type="dxa" w:w="2154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Основной поток событий</w:t>
            </w:r>
          </w:p>
        </w:tc>
        <w:tc>
          <w:tcPr>
            <w:tcW w:type="dxa" w:w="7200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1. Автор реализует функции на C/C++ по типу нативной функции и функцию loom_lib_init, которая регистрирует их с указанием имени, типов параметров и результата.</w:t>
            </w:r>
          </w:p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2. Автор собирает динамическую библиотеку для целевой ОС.</w:t>
            </w:r>
          </w:p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3. Автор пишет программу на Loom и объявляет в ней блок import native "mylib" { func add(a: int, b: int): int; }.</w:t>
            </w:r>
          </w:p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4. Компилятор проверяет объявления (допускаются только типы int, float, bool, string, void) и записывает их в таблицу нативных импортов файла байткода.</w:t>
            </w:r>
          </w:p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5. Автор размещает библиотеку в каталоге файла байткода или указывает её каталог параметром ‑‑lib‑path и запускает программу.</w:t>
            </w:r>
          </w:p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6. Виртуальная машина загружает библиотеку, вызывает loom_lib_init и сверяет зарегистрированные сигнатуры с объявленными в программе.</w:t>
            </w:r>
          </w:p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7. При вызове mylib.add виртуальная машина передаёт аргументы библиотеке, вызывает функцию и помещает результат в стек операндов.</w:t>
            </w:r>
          </w:p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8. Программа продолжает выполнение и выводит результат.</w:t>
            </w:r>
          </w:p>
        </w:tc>
      </w:tr>
      <w:tr>
        <w:trPr/>
        <w:tc>
          <w:tcPr>
            <w:tcW w:type="dxa" w:w="2154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Альтернативные потоки</w:t>
            </w:r>
          </w:p>
        </w:tc>
        <w:tc>
          <w:tcPr>
            <w:tcW w:type="dxa" w:w="7200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Альтернативный поток 1. На шаге 4 в объявлении использован недопустимый тип (структура или массив) – компилятор выводит ошибку; файл байткода не создаётся.</w:t>
            </w:r>
          </w:p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Альтернативный поток 2. На шаге 6 библиотека не найдена – виртуальная машина выводит сообщение с перечнем просмотренных каталогов, код завершения 71.</w:t>
            </w:r>
          </w:p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Альтернативный поток 3. На шаге 6 библиотека не экспортирует loom_lib_init или нужная функция не зарегистрирована – выводится сообщение с именем библиотеки и функции, код завершения 71.</w:t>
            </w:r>
          </w:p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Альтернативный поток 4. На шаге 6 сигнатура не совпадает – выводятся объявленная и фактическая сигнатуры, код завершения 71.</w:t>
            </w:r>
          </w:p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Альтернативный поток 5. На шаге 7 нативная функция сообщает об ошибке через loom_error – виртуальная машина выводит ошибку времени выполнения со стеком вызовов, код завершения 70.</w:t>
            </w:r>
          </w:p>
        </w:tc>
      </w:tr>
      <w:tr>
        <w:trPr/>
        <w:tc>
          <w:tcPr>
            <w:tcW w:type="dxa" w:w="2154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Постусловие</w:t>
            </w:r>
          </w:p>
        </w:tc>
        <w:tc>
          <w:tcPr>
            <w:tcW w:type="dxa" w:w="7200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Функции внешней библиотеки вызываются из программы как функции модуля mylib, либо выведено сообщение об ошибке подключения до начала выполнения программы.</w:t>
            </w:r>
          </w:p>
        </w:tc>
      </w:tr>
      <w:tr>
        <w:trPr/>
        <w:tc>
          <w:tcPr>
            <w:tcW w:type="dxa" w:w="2154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Специальные требования</w:t>
            </w:r>
          </w:p>
        </w:tc>
        <w:tc>
          <w:tcPr>
            <w:tcW w:type="dxa" w:w="7200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Библиотеки ищутся только в каталоге файла байткода и в каталогах ‑‑lib‑path. Через границу передаются только значения типов int, float, bool и string; строки, возвращённые библиотекой, копируются виртуальной машиной.</w:t>
            </w:r>
          </w:p>
        </w:tc>
      </w:tr>
    </w:tbl>
    <w:p>
      <w:pPr>
        <w:spacing w:line="240" w:lineRule="auto"/>
      </w:pPr>
    </w:p>
    <w:p>
      <w:pPr>
        <w:keepNext/>
      </w:pPr>
      <w:r>
        <w:rPr>
          <w:rFonts w:ascii="Times New Roman" w:hAnsi="Times New Roman" w:cs="Times New Roman" w:eastAsia="Times New Roman"/>
        </w:rPr>
        <w:t>Сценарий 4 представлен на рисунке 4 и таблице 4.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288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-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ind w:firstLine="0"/>
        <w:jc w:val="center"/>
      </w:pPr>
      <w:r>
        <w:rPr>
          <w:rFonts w:ascii="Times New Roman" w:hAnsi="Times New Roman" w:cs="Times New Roman" w:eastAsia="Times New Roman"/>
        </w:rPr>
        <w:t>Рисунок 4 – Диаграмма сценария «Просмотр промежуточных представлений программы»</w:t>
      </w:r>
    </w:p>
    <w:p>
      <w:pPr>
        <w:keepNext/>
        <w:spacing w:before="120"/>
        <w:ind w:firstLine="0"/>
        <w:jc w:val="left"/>
      </w:pPr>
      <w:r>
        <w:rPr>
          <w:rFonts w:ascii="Times New Roman" w:hAnsi="Times New Roman" w:cs="Times New Roman" w:eastAsia="Times New Roman"/>
        </w:rPr>
        <w:t>Таблица 4 – Сценарий 4</w:t>
      </w:r>
    </w:p>
    <w:tbl>
      <w:tblPr>
        <w:tblW w:type="auto" w:w="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85" w:type="dxa"/>
          <w:right w:w="85" w:type="dxa"/>
        </w:tblCellMar>
        <w:tblLook w:firstColumn="1" w:firstRow="1" w:lastColumn="0" w:lastRow="0" w:noHBand="0" w:noVBand="1" w:val="04A0"/>
      </w:tblPr>
      <w:tblGrid>
        <w:gridCol w:w="2154"/>
        <w:gridCol w:w="7200"/>
      </w:tblGrid>
      <w:tr>
        <w:trPr/>
        <w:tc>
          <w:tcPr>
            <w:tcW w:type="dxa" w:w="2154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Наименование</w:t>
            </w:r>
          </w:p>
        </w:tc>
        <w:tc>
          <w:tcPr>
            <w:tcW w:type="dxa" w:w="7200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Просмотр промежуточных представлений программы</w:t>
            </w:r>
          </w:p>
        </w:tc>
      </w:tr>
      <w:tr>
        <w:trPr/>
        <w:tc>
          <w:tcPr>
            <w:tcW w:type="dxa" w:w="2154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Идентификатор</w:t>
            </w:r>
          </w:p>
        </w:tc>
        <w:tc>
          <w:tcPr>
            <w:tcW w:type="dxa" w:w="7200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UC-4</w:t>
            </w:r>
          </w:p>
        </w:tc>
      </w:tr>
      <w:tr>
        <w:trPr/>
        <w:tc>
          <w:tcPr>
            <w:tcW w:type="dxa" w:w="2154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Основной актор</w:t>
            </w:r>
          </w:p>
        </w:tc>
        <w:tc>
          <w:tcPr>
            <w:tcW w:type="dxa" w:w="7200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Обучающийся (StH-03)</w:t>
            </w:r>
          </w:p>
        </w:tc>
      </w:tr>
      <w:tr>
        <w:trPr/>
        <w:tc>
          <w:tcPr>
            <w:tcW w:type="dxa" w:w="2154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Предусловие</w:t>
            </w:r>
          </w:p>
        </w:tc>
        <w:tc>
          <w:tcPr>
            <w:tcW w:type="dxa" w:w="7200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Имеется исходный файл программы loop.loom с циклом for.</w:t>
            </w:r>
          </w:p>
        </w:tc>
      </w:tr>
      <w:tr>
        <w:trPr/>
        <w:tc>
          <w:tcPr>
            <w:tcW w:type="dxa" w:w="2154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Основной поток событий</w:t>
            </w:r>
          </w:p>
        </w:tc>
        <w:tc>
          <w:tcPr>
            <w:tcW w:type="dxa" w:w="7200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1. Обучающийся запускает команду loomc build loop.loom ‑‑dump‑tokens.</w:t>
            </w:r>
          </w:p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2. Компилятор выводит список токенов: позицию, тип и текст каждого токена.</w:t>
            </w:r>
          </w:p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3. Обучающийся запускает команду loomc build loop.loom ‑‑dump‑ast.</w:t>
            </w:r>
          </w:p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4. Компилятор выводит синтаксическое дерево в виде дерева с отступами: тип узла, имя или значение и тип выражения после семантического анализа.</w:t>
            </w:r>
          </w:p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5. Обучающийся компилирует программу и запускает команду loomc disasm loop.lbc.</w:t>
            </w:r>
          </w:p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6. Компилятор читает файл байткода и выводит заголовок (версия формата, число констант, структур, функций) и таблицу констант.</w:t>
            </w:r>
          </w:p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7. Для каждой функции компилятор выводит листинг: смещение, номер строки исходного кода, мнемонику и операнды с расшифровкой.</w:t>
            </w:r>
          </w:p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8. Обучающийся сопоставляет строки исходного кода с инструкциями, например цикл for – с инструкциями условного и безусловного перехода.</w:t>
            </w:r>
          </w:p>
        </w:tc>
      </w:tr>
      <w:tr>
        <w:trPr/>
        <w:tc>
          <w:tcPr>
            <w:tcW w:type="dxa" w:w="2154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Альтернативные потоки</w:t>
            </w:r>
          </w:p>
        </w:tc>
        <w:tc>
          <w:tcPr>
            <w:tcW w:type="dxa" w:w="7200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Альтернативный поток 1. На шаге 3 в файле есть синтаксические ошибки – дерево не выводится, выводятся сообщения об ошибках; список токенов (шаг 1) выводится и для файла с синтаксическими ошибками.</w:t>
            </w:r>
          </w:p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Альтернативный поток 2. На шаге 5 указанный файл не является байткодом Loom или его версия не поддерживается – выводится сообщение, код завершения 2.</w:t>
            </w:r>
          </w:p>
        </w:tc>
      </w:tr>
      <w:tr>
        <w:trPr/>
        <w:tc>
          <w:tcPr>
            <w:tcW w:type="dxa" w:w="2154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Постусловие</w:t>
            </w:r>
          </w:p>
        </w:tc>
        <w:tc>
          <w:tcPr>
            <w:tcW w:type="dxa" w:w="7200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Токены, дерево и листинг выведены в стандартный поток вывода; исходные файлы и файл байткода не изменены.</w:t>
            </w:r>
          </w:p>
        </w:tc>
      </w:tr>
      <w:tr>
        <w:trPr/>
        <w:tc>
          <w:tcPr>
            <w:tcW w:type="dxa" w:w="2154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Специальные требования</w:t>
            </w:r>
          </w:p>
        </w:tc>
        <w:tc>
          <w:tcPr>
            <w:tcW w:type="dxa" w:w="7200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Формат дампов стабилен и описан в документации. Дизассемблер работает для любого корректного файла байткода.</w:t>
            </w:r>
          </w:p>
        </w:tc>
      </w:tr>
    </w:tbl>
    <w:p>
      <w:pPr>
        <w:spacing w:line="240" w:lineRule="auto"/>
      </w:pPr>
    </w:p>
    <w:sectPr w:rsidR="00FC693F" w:rsidRPr="0006063C" w:rsidSect="00034616">
      <w:headerReference w:type="default" r:id="rId9"/>
      <w:pgSz w:w="11906" w:h="16838"/>
      <w:pgMar w:top="1134" w:right="850" w:bottom="1134" w:left="1701" w:header="567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ind w:firstLine="0"/>
      <w:jc w:val="center"/>
    </w:pPr>
    <w:r>
      <w:rPr>
        <w:rFonts w:ascii="Times New Roman" w:hAnsi="Times New Roman" w:cs="Times New Roman" w:eastAsia="Times New Roman"/>
        <w:sz w:val="24"/>
      </w:rPr>
      <w:fldChar w:fldCharType="begin"/>
    </w:r>
    <w:r>
      <w:rPr>
        <w:rFonts w:ascii="Times New Roman" w:hAnsi="Times New Roman" w:cs="Times New Roman" w:eastAsia="Times New Roman"/>
        <w:sz w:val="24"/>
      </w:rPr>
      <w:instrText xml:space="preserve"> PAGE </w:instrText>
    </w:r>
    <w:r>
      <w:rPr>
        <w:rFonts w:ascii="Times New Roman" w:hAnsi="Times New Roman" w:cs="Times New Roman" w:eastAsia="Times New Roman"/>
        <w:sz w:val="24"/>
      </w:rPr>
      <w:fldChar w:fldCharType="separate"/>
    </w:r>
    <w:r>
      <w:rPr>
        <w:rFonts w:ascii="Times New Roman" w:hAnsi="Times New Roman" w:cs="Times New Roman" w:eastAsia="Times New Roman"/>
        <w:sz w:val="24"/>
      </w:rPr>
      <w:t>1</w:t>
    </w:r>
    <w:r>
      <w:rPr>
        <w:rFonts w:ascii="Times New Roman" w:hAnsi="Times New Roman" w:cs="Times New Roman" w:eastAsia="Times New Roman"/>
        <w:sz w:val="24"/>
      </w:rPr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0">
    <w:multiLevelType w:val="singleLevel"/>
    <w:lvl w:ilvl="0">
      <w:start w:val="1"/>
      <w:numFmt w:val="bullet"/>
      <w:suff w:val="space"/>
      <w:lvlText w:val="–"/>
      <w:lvlJc w:val="left"/>
      <w:pPr>
        <w:ind w:left="0" w:firstLine="709"/>
      </w:pPr>
      <w:rPr>
        <w:rFonts w:ascii="Times New Roman" w:hAnsi="Times New Roman" w:cs="Times New Roman"/>
      </w:rPr>
    </w:lvl>
  </w:abstractNum>
  <w:abstractNum w:abstractNumId="91">
    <w:multiLevelType w:val="singleLevel"/>
    <w:lvl w:ilvl="0">
      <w:start w:val="1"/>
      <w:numFmt w:val="decimal"/>
      <w:suff w:val="space"/>
      <w:lvlText w:val="%1)"/>
      <w:lvlJc w:val="left"/>
      <w:pPr>
        <w:ind w:left="0" w:firstLine="709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90">
    <w:abstractNumId w:val="90"/>
  </w:num>
  <w:num w:numId="91">
    <w:abstractNumId w:val="9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60" w:lineRule="auto" w:before="0" w:after="0"/>
      <w:ind w:firstLine="709"/>
      <w:jc w:val="both"/>
    </w:pPr>
    <w:rPr>
      <w:rFonts w:ascii="Times New Roman" w:hAnsi="Times New Roman" w:cs="Times New Roman" w:eastAsia="Times New Roman"/>
      <w:sz w:val="24"/>
      <w:lang w:val="ru-RU" w:eastAsia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360" w:lineRule="auto"/>
      <w:ind w:firstLine="709" w:left="0"/>
      <w:jc w:val="left"/>
      <w:outlineLvl w:val="0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i w:val="0"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120" w:line="360" w:lineRule="auto"/>
      <w:ind w:firstLine="709" w:left="0"/>
      <w:jc w:val="left"/>
      <w:outlineLvl w:val="1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i w:val="0"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120" w:line="360" w:lineRule="auto"/>
      <w:ind w:firstLine="709" w:left="0"/>
      <w:jc w:val="left"/>
      <w:outlineLvl w:val="2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i w:val="0"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120" w:line="360" w:lineRule="auto"/>
      <w:ind w:firstLine="709" w:left="0"/>
      <w:jc w:val="left"/>
      <w:outlineLvl w:val="3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i w:val="0"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