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Анализ полноты и непротиворечивости требований языка программирования Loom</w:t>
      </w:r>
    </w:p>
    <w:p>
      <w:r>
        <w:rPr>
          <w:rFonts w:ascii="Times New Roman" w:hAnsi="Times New Roman" w:cs="Times New Roman" w:eastAsia="Times New Roman"/>
        </w:rPr>
        <w:t>Настоящий документ содержит проверку перечня из 41 требований (27 функциональных, 9 нефункциональных и 5 ограничений), приведённого в документе «Классификация и формализация требований», на полноту по стейкхолдерам, полноту по сценариям использования UC-1 – UC-4, однозначность формулировок и непротиворечивость.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1 Проверка полноты по стейкхолдерам</w:t>
      </w:r>
    </w:p>
    <w:p>
      <w:r>
        <w:rPr>
          <w:rFonts w:ascii="Times New Roman" w:hAnsi="Times New Roman" w:cs="Times New Roman" w:eastAsia="Times New Roman"/>
        </w:rPr>
        <w:t>Для каждого из пяти стейкхолдеров найдены требования, которые прямо отвечают на его ключевые потребности и опасения (таблица 1). Обнаруженные пробелы помечены кодами УТ и собраны в разделе 5.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1 – Полнота требований по стейкхолдерам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1701"/>
        <w:gridCol w:w="2948"/>
        <w:gridCol w:w="2041"/>
        <w:gridCol w:w="2664"/>
      </w:tblGrid>
      <w:tr>
        <w:trPr>
          <w:tblHeader w:val="true"/>
        </w:trPr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Стейкхолдер</w:t>
            </w:r>
          </w:p>
        </w:tc>
        <w:tc>
          <w:tcPr>
            <w:tcW w:type="dxa" w:w="294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Ключевая потребность или опасение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Покрывающие требования</w:t>
            </w:r>
          </w:p>
        </w:tc>
        <w:tc>
          <w:tcPr>
            <w:tcW w:type="dxa" w:w="2665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Результат проверки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StH-01 – Программист</w:t>
            </w:r>
          </w:p>
        </w:tc>
        <w:tc>
          <w:tcPr>
            <w:tcW w:type="dxa" w:w="294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Объявлять переменные и структуры; использовать условия, switch и циклы; разбивать программу на модули; пользоваться стандартной библиотекой; видеть позицию ошибки; запускать один файл байткода в Windows и Linux; видеть стек вызовов при ошибке.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FR-03 – FR-13, FR-15 – FR-17, FR-19 – FR-26; NFR-01 – NFR-06, NFR-09; CON-03</w:t>
            </w:r>
          </w:p>
        </w:tc>
        <w:tc>
          <w:tcPr>
            <w:tcW w:type="dxa" w:w="266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Основная потребность покрыта. Не определено, как различать модули с одинаковыми именами файлов (УТ-1), и допустимо ли сравнение структур и массивов операторами == и != (УТ-6).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StH-02 – Автор нативной библиотеки</w:t>
            </w:r>
          </w:p>
        </w:tc>
        <w:tc>
          <w:tcPr>
            <w:tcW w:type="dxa" w:w="294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Подключать функции C/C++ через документированный интерфейс; указывать типы при регистрации; сообщать об ошибке; получать понятное сообщение при отсутствии библиотеки или несовпадении сигнатуры; собирать библиотеку для обеих ОС.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FR-14, FR-20, FR-22, FR-26, FR-27; NFR-08; CON-03</w:t>
            </w:r>
          </w:p>
        </w:tc>
        <w:tc>
          <w:tcPr>
            <w:tcW w:type="dxa" w:w="266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Основная потребность покрыта. Не закреплены имя файла библиотеки в разных ОС и порядок поиска каталогов (УТ-4).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StH-03 – Обучающийся</w:t>
            </w:r>
          </w:p>
        </w:tc>
        <w:tc>
          <w:tcPr>
            <w:tcW w:type="dxa" w:w="294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Простой синтаксис без ООП; просмотр токенов и дерева; листинг байткода с номерами строк; сообщения об ошибках на русском языке; документация с примерами.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FR-01, FR-02, FR-11, FR-16 – FR-18, FR-25; NFR-06, NFR-07; CON-04</w:t>
            </w:r>
          </w:p>
        </w:tc>
        <w:tc>
          <w:tcPr>
            <w:tcW w:type="dxa" w:w="266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Основная потребность покрыта частично. Документация по языку и формату байткода не закреплена требованием (УТ-7); не определено, выводятся ли типы выражений в дереве (УТ-5).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StH-04 – Сопровождающий разработчик</w:t>
            </w:r>
          </w:p>
        </w:tc>
        <w:tc>
          <w:tcPr>
            <w:tcW w:type="dxa" w:w="294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Единая спецификация формата; листинг байткода; версия формата в файле; сообщение вместо аварийного завершения на повреждённом файле; сборка для обеих ОС.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FR-15, FR-18, FR-19, FR-23; NFR-02 – NFR-05, NFR-07, NFR-09; CON-01 – CON-03</w:t>
            </w:r>
          </w:p>
        </w:tc>
        <w:tc>
          <w:tcPr>
            <w:tcW w:type="dxa" w:w="266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Полнота подтверждена.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StH-05 – Заказчик (преподаватель)</w:t>
            </w:r>
          </w:p>
        </w:tc>
        <w:tc>
          <w:tcPr>
            <w:tcW w:type="dxa" w:w="294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Все обязательные конструкции задания; проверка на демонстрационных программах; документация по ГОСТ 34.602-2020; промежуточные результаты в срок; самостоятельность работы.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FR-03 – FR-09, FR-12 – FR-14; CON-04, CON-05</w:t>
            </w:r>
          </w:p>
        </w:tc>
        <w:tc>
          <w:tcPr>
            <w:tcW w:type="dxa" w:w="266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Полнота подтверждена: каждая обязательная конструкция задания закреплена требованием Must Have. Состав документации не закреплён (УТ-7); контроль сроков обеспечивается планом работ ТЗ, а не требованием к системе.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</w:rPr>
        <w:t>Стейкхолдеров, чьи потребности остались бы без требований, нет. Замечания относятся к деталям: именам модулей и файлов библиотек, содержимому дампов, сравнению составных значений и составу документации.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2 Проверка полноты по сценариям использования</w:t>
      </w:r>
    </w:p>
    <w:p>
      <w:r>
        <w:rPr>
          <w:rFonts w:ascii="Times New Roman" w:hAnsi="Times New Roman" w:cs="Times New Roman" w:eastAsia="Times New Roman"/>
        </w:rPr>
        <w:t>Каждый шаг основного потока сценариев UC-1 – UC-4 (всего 32 шага) сопоставлен с требованиями; альтернативные потоки (17) проверены дополнительно (таблица 2). Шагов без требований нет, но 4 шага обеспечены только частично: не закреплены содержание сообщения об успешной сборке (UC-1, шаг 8), имя файла внешней библиотеки и порядок поиска каталогов (UC-3, шаги 2 и 5) и вывод типов в синтаксическом дереве (UC-4, шаг 4). Кроме того, ни одним требованием не описан альтернативный поток 5 сценария UC-2 – исчерпание входного потока.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2 – Сопоставление шагов сценариев и требований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5443"/>
        <w:gridCol w:w="2041"/>
      </w:tblGrid>
      <w:tr>
        <w:trPr>
          <w:tblHeader w:val="true"/>
        </w:trPr>
        <w:tc>
          <w:tcPr>
            <w:tcW w:type="dxa" w:w="187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Сценарий</w:t>
            </w:r>
          </w:p>
        </w:tc>
        <w:tc>
          <w:tcPr>
            <w:tcW w:type="dxa" w:w="5443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Шаги основного потока → требования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Результат</w:t>
            </w:r>
          </w:p>
        </w:tc>
      </w:tr>
      <w:tr>
        <w:trPr/>
        <w:tc>
          <w:tcPr>
            <w:tcW w:type="dxa" w:w="187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UC-1 – Компиляция многофайловой программы</w:t>
            </w:r>
          </w:p>
        </w:tc>
        <w:tc>
          <w:tcPr>
            <w:tcW w:type="dxa" w:w="544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 → FR-25; 2 → FR-01; 3 → FR-02; 4 → FR-12; 5 → FR-11, FR-03 – FR-09; 6 → FR-15, FR-16; 7 → FR-15, FR-25; 8 → FR-25 (состав сообщения об успешной сборке не закреплён). Альт.: 1 → FR-17, NFR-06; 2 → FR-12, FR-17; 3 → FR-12; 4 → FR-11, FR-17; 5 → FR-25.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7 шагов покрыты полностью; шаг 8 – частично.</w:t>
            </w:r>
          </w:p>
        </w:tc>
      </w:tr>
      <w:tr>
        <w:trPr/>
        <w:tc>
          <w:tcPr>
            <w:tcW w:type="dxa" w:w="187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UC-2 – Запуск программы в виртуальной машине</w:t>
            </w:r>
          </w:p>
        </w:tc>
        <w:tc>
          <w:tcPr>
            <w:tcW w:type="dxa" w:w="544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 → FR-26; 2 → FR-19; 3 → FR-19; 4 → FR-19, NFR-03; 5 → FR-20, FR-13, FR-14; 6 → FR-21; 7 → FR-24, FR-26; 8 → FR-21, FR-23. Альт.: 1 → FR-19; 2 → FR-19, NFR-03; 3 → FR-20; 4 → FR-22, FR-16; 5 → требование отсутствует.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Все 8 шагов покрыты полностью; альт. поток 5 не покрыт.</w:t>
            </w:r>
          </w:p>
        </w:tc>
      </w:tr>
      <w:tr>
        <w:trPr/>
        <w:tc>
          <w:tcPr>
            <w:tcW w:type="dxa" w:w="187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UC-3 – Подключение внешней нативной библиотеки</w:t>
            </w:r>
          </w:p>
        </w:tc>
        <w:tc>
          <w:tcPr>
            <w:tcW w:type="dxa" w:w="544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 → FR-27; 2 → FR-27, CON-03 (имя файла библиотеки в разных ОС не закреплено); 3 → FR-14; 4 → FR-14, FR-15; 5 → FR-26, NFR-08 (порядок поиска каталогов не закреплён); 6 → FR-20; 7 → FR-14, FR-21; 8 → FR-21, FR-24. Альт.: 1 → FR-14, FR-11; 2 → FR-20, NFR-08; 3 → FR-20; 4 → FR-20; 5 → FR-22, FR-27.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 шагов покрыты полностью; шаги 2 и 5 – частично.</w:t>
            </w:r>
          </w:p>
        </w:tc>
      </w:tr>
      <w:tr>
        <w:trPr/>
        <w:tc>
          <w:tcPr>
            <w:tcW w:type="dxa" w:w="187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UC-4 – Просмотр промежуточных представлений программы</w:t>
            </w:r>
          </w:p>
        </w:tc>
        <w:tc>
          <w:tcPr>
            <w:tcW w:type="dxa" w:w="544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 → FR-18, FR-25; 2 → FR-18, FR-01; 3 → FR-18; 4 → FR-18 (вывод типов выражений не закреплён); 5 → FR-18, FR-25; 6 → FR-18; 7 → FR-18, FR-16, NFR-07; 8 → NFR-07. Альт.: 1 → FR-17, FR-18; 2 → FR-25.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7 шагов покрыты полностью; шаг 4 – частично.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</w:rPr>
        <w:t>Итого полностью обеспечены 28 шагов из 32, ещё 4 – частично. Чтобы устранить неполноту, нужно уточнить FR-14, FR-18, FR-24, FR-25 и NFR-08 (УТ-2 – УТ-5).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 Проверка на однозначность</w:t>
      </w:r>
    </w:p>
    <w:p>
      <w:r>
        <w:rPr>
          <w:rFonts w:ascii="Times New Roman" w:hAnsi="Times New Roman" w:cs="Times New Roman" w:eastAsia="Times New Roman"/>
        </w:rPr>
        <w:t>Формулировки всех 41 требований проверены на оценочные слова и неопределённые выражения. Пороговые значения производительности, памяти и надёжности (NFR-01 – NFR-04, NFR-09) заданы числами. Остались 7 мест, где формулировка допускает разное толкование или не определены границы (таблица 3).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3 – Уточнение неоднозначных формулировок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1247"/>
        <w:gridCol w:w="2041"/>
        <w:gridCol w:w="2608"/>
        <w:gridCol w:w="3458"/>
      </w:tblGrid>
      <w:tr>
        <w:trPr>
          <w:tblHeader w:val="true"/>
        </w:trPr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Требование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Формулировка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Проблема</w:t>
            </w:r>
          </w:p>
        </w:tc>
        <w:tc>
          <w:tcPr>
            <w:tcW w:type="dxa" w:w="345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Предлагаемое уточнение</w:t>
            </w:r>
          </w:p>
        </w:tc>
      </w:tr>
      <w:tr>
        <w:trPr/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FR-12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«путь указывается относительно файла»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 определено, относительно какого файла (импортирующего или каталога запуска) и какой разделитель каталогов используется.</w:t>
            </w:r>
          </w:p>
        </w:tc>
        <w:tc>
          <w:tcPr>
            <w:tcW w:type="dxa" w:w="345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Путь задаётся относительно каталога импортирующего файла; разделитель «/» во всех ОС; абсолютные пути не допускаются.</w:t>
            </w:r>
          </w:p>
        </w:tc>
      </w:tr>
      <w:tr>
        <w:trPr/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FR-04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«арифметические операторы» для int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 определены поведение при переполнении 64-битного целого, правило деления и знак остатка.</w:t>
            </w:r>
          </w:p>
        </w:tc>
        <w:tc>
          <w:tcPr>
            <w:tcW w:type="dxa" w:w="345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Переполнение – по модулю 2⁶⁴ без ошибки; деление int – с отбрасыванием дробной части; знак остатка совпадает со знаком делимого; деление float на ноль – по IEEE 754 (inf, NaN).</w:t>
            </w:r>
          </w:p>
        </w:tc>
      </w:tr>
      <w:tr>
        <w:trPr/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FR-17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«с понятным описанием причины»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Оценочное слово «понятный» не имеет критерия.</w:t>
            </w:r>
          </w:p>
        </w:tc>
        <w:tc>
          <w:tcPr>
            <w:tcW w:type="dxa" w:w="345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Сообщение содержит ожидаемый и фактический элемент (например, «ожидалось «;», найдено «}»») или имя неизвестного объекта; каждый код ошибки описан в справочнике с примером.</w:t>
            </w:r>
          </w:p>
        </w:tc>
      </w:tr>
      <w:tr>
        <w:trPr/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FR-22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«переполнении стека вызовов»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 задан предел глубины вызовов, при котором возникает ошибка.</w:t>
            </w:r>
          </w:p>
        </w:tc>
        <w:tc>
          <w:tcPr>
            <w:tcW w:type="dxa" w:w="345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Предел – 4096 кадров (согласно NFR-09); при превышении – ошибка со стеком вызовов (первые и последние 10 кадров).</w:t>
            </w:r>
          </w:p>
        </w:tc>
      </w:tr>
      <w:tr>
        <w:trPr/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FR-23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«которые больше не используются»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 определён момент освобождения памяти.</w:t>
            </w:r>
          </w:p>
        </w:tc>
        <w:tc>
          <w:tcPr>
            <w:tcW w:type="dxa" w:w="345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Память освобождается сборщиком мусора .NET; виртуальная машина не удерживает ссылки на значения после их выхода из области видимости: слоты кадра очищаются при возврате из функции, вершина стека – при извлечении значения.</w:t>
            </w:r>
          </w:p>
        </w:tc>
      </w:tr>
      <w:tr>
        <w:trPr/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NFR-01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«на эталонном компьютере»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Конфигурация эталонного компьютера не определена.</w:t>
            </w:r>
          </w:p>
        </w:tc>
        <w:tc>
          <w:tcPr>
            <w:tcW w:type="dxa" w:w="345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Эталонный компьютер – минимальная конфигурация из ТЗ (двухъядерный процессор 2,0 ГГц, 4 ГБ ОЗУ); виртуальная машина собрана в режиме Release; время измеряется от запуска процесса до завершения.</w:t>
            </w:r>
          </w:p>
        </w:tc>
      </w:tr>
      <w:tr>
        <w:trPr/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NFR-05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«с одинаковым выводом»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Вывод вещественных чисел стандартными функциями C зависит от платформы и региональных настроек ОС.</w:t>
            </w:r>
          </w:p>
        </w:tc>
        <w:tc>
          <w:tcPr>
            <w:tcW w:type="dxa" w:w="345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Числа float выводятся кратчайшим представлением, однозначно восстанавливающим значение, с точкой в качестве разделителя независимо от настроек ОС; перевод строки – символ LF в обеих ОС.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</w:rPr>
        <w:t>С учётом этих уточнений каждое из перечисленных требований можно однозначно реализовать и проверить при приёмке. Уточнения внесены в техническое задание (спецификация языка и требования к показателям назначения).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4 Проверка на непротиворечивость</w:t>
      </w:r>
    </w:p>
    <w:p>
      <w:r>
        <w:rPr>
          <w:rFonts w:ascii="Times New Roman" w:hAnsi="Times New Roman" w:cs="Times New Roman" w:eastAsia="Times New Roman"/>
        </w:rPr>
        <w:t>Требования, затрагивающие одну функцию или характеристику системы, проверены попарно на возможность одновременного выполнения. Пар, которые нельзя выполнить вместе, не найдено; выявлено 6 мест, где требования могут вступить в конфликт при реализации (таблица 4).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4 – Проверка непротиворечивости требований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510"/>
        <w:gridCol w:w="1927"/>
        <w:gridCol w:w="3231"/>
        <w:gridCol w:w="3685"/>
      </w:tblGrid>
      <w:tr>
        <w:trPr>
          <w:tblHeader w:val="true"/>
        </w:trPr>
        <w:tc>
          <w:tcPr>
            <w:tcW w:type="dxa" w:w="510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Пара требований</w:t>
            </w:r>
          </w:p>
        </w:tc>
        <w:tc>
          <w:tcPr>
            <w:tcW w:type="dxa" w:w="323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Потенциальное противоречие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Стратегия разрешения</w:t>
            </w:r>
          </w:p>
        </w:tc>
      </w:tr>
      <w:tr>
        <w:trPr/>
        <w:tc>
          <w:tcPr>
            <w:tcW w:type="dxa" w:w="51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NFR-03 ↔ FR-14, FR-27</w:t>
            </w:r>
          </w:p>
        </w:tc>
        <w:tc>
          <w:tcPr>
            <w:tcW w:type="dxa" w:w="323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NFR-03 запрещает аварийное завершение виртуальной машины на любом входе, а код внешней библиотеки выполняется в её процессе без изоляции и может завершить его аварийно.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Ограничить NFR-03 байткодом и стандартной библиотекой; внешние библиотеки выполняются под ответственность их автора, что указывается в руководстве по нативным библиотекам.</w:t>
            </w:r>
          </w:p>
        </w:tc>
      </w:tr>
      <w:tr>
        <w:trPr/>
        <w:tc>
          <w:tcPr>
            <w:tcW w:type="dxa" w:w="51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FR-09, FR-10 ↔ NFR-01, NFR-04</w:t>
            </w:r>
          </w:p>
        </w:tc>
        <w:tc>
          <w:tcPr>
            <w:tcW w:type="dxa" w:w="323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Копирование структур и массивов при каждом присваивании и передаче в функцию замедляет выполнение и увеличивает потребление памяти.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Копирование при записи: значение физически копируется только при изменении, если на него есть другие ссылки; для программиста семантика передачи по значению сохраняется.</w:t>
            </w:r>
          </w:p>
        </w:tc>
      </w:tr>
      <w:tr>
        <w:trPr/>
        <w:tc>
          <w:tcPr>
            <w:tcW w:type="dxa" w:w="51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FR-17 ↔ FR-11</w:t>
            </w:r>
          </w:p>
        </w:tc>
        <w:tc>
          <w:tcPr>
            <w:tcW w:type="dxa" w:w="323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Продолжение анализа после синтаксической ошибки порождает каскад ложных семантических ошибок.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Семантический анализ выполняется только для модулей без синтаксических ошибок; выражение с ошибкой получает «ошибочный тип», для которого повторные сообщения не выводятся.</w:t>
            </w:r>
          </w:p>
        </w:tc>
      </w:tr>
      <w:tr>
        <w:trPr/>
        <w:tc>
          <w:tcPr>
            <w:tcW w:type="dxa" w:w="51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CON-01, CON-02 ↔ FR-15, FR-19</w:t>
            </w:r>
          </w:p>
        </w:tc>
        <w:tc>
          <w:tcPr>
            <w:tcW w:type="dxa" w:w="323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Компилятор и виртуальная машина – отдельные приложения, которые развиваются параллельно; запись и чтение формата байткода могут разойтись.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Описание формата (константы, коды инструкций, чтение и запись секций) выносится в общую библиотеку Loom.Bytecode, которую используют оба приложения; виртуальная машина отклоняет файлы с другим старшим номером версии.</w:t>
            </w:r>
          </w:p>
        </w:tc>
      </w:tr>
      <w:tr>
        <w:trPr/>
        <w:tc>
          <w:tcPr>
            <w:tcW w:type="dxa" w:w="51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FR-21 ↔ FR-22, NFR-03</w:t>
            </w:r>
          </w:p>
        </w:tc>
        <w:tc>
          <w:tcPr>
            <w:tcW w:type="dxa" w:w="323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Функция main может вернуть 70 или 71, и такой код нельзя отличить от ошибки выполнения или загрузки.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Код возврата main ограничить диапазоном 0–63; возврат значения вне диапазона – ошибка выполнения; коды 70 и 71 зарезервированы за виртуальной машиной.</w:t>
            </w:r>
          </w:p>
        </w:tc>
      </w:tr>
      <w:tr>
        <w:trPr/>
        <w:tc>
          <w:tcPr>
            <w:tcW w:type="dxa" w:w="51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FR-12 ↔ FR-13</w:t>
            </w:r>
          </w:p>
        </w:tc>
        <w:tc>
          <w:tcPr>
            <w:tcW w:type="dxa" w:w="323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Пространство имён модуля равно имени файла, поэтому пользовательский файл math.loom и стандартный модуль math получают одно и то же имя.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Импорт модулей с совпадающими именами без псевдонима – ошибка компиляции; псевдоним задаётся конструкцией import "путь" as имя (см. УТ-1).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</w:rPr>
        <w:t>При соблюдении указанных стратегий конфликты снимаются. Наибольшего внимания требуют граница гарантий надёжности для внешних библиотек и согласованность формата байткода между компилятором и виртуальной машиной. Остальные проверенные пары совместимы: FR-08 и NFR-09 (рекурсия ограничена 4096 кадрами, демонстрационные программы используют глубину не более 30), FR-19 и NFR-01 (проверка байткода выполняется один раз при загрузке и не влияет на скорость интерпретации), FR-14 и NFR-08 (внешняя библиотека загружается только по явной директиве импорта, что и требует NFR-08).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5 Требования, подлежащие уточнению</w:t>
      </w:r>
    </w:p>
    <w:p>
      <w:r>
        <w:rPr>
          <w:rFonts w:ascii="Times New Roman" w:hAnsi="Times New Roman" w:cs="Times New Roman" w:eastAsia="Times New Roman"/>
        </w:rPr>
        <w:t>Перечисленные ниже пункты не мешают реализации основных функций, но их следует закрыть до утверждения перечня. Согласованные изменения вносятся в документ «Классификация и формализация требований» и учитываются в техническом задании.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5 – Требования, подлежащие уточнению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793"/>
        <w:gridCol w:w="2041"/>
        <w:gridCol w:w="2211"/>
        <w:gridCol w:w="4309"/>
      </w:tblGrid>
      <w:tr>
        <w:trPr>
          <w:tblHeader w:val="true"/>
        </w:trPr>
        <w:tc>
          <w:tcPr>
            <w:tcW w:type="dxa" w:w="794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Что подлежит уточнению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Связь с перечнем / сценарием</w:t>
            </w:r>
          </w:p>
        </w:tc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Предлагаемая формулировка или порядок уточнения</w:t>
            </w:r>
          </w:p>
        </w:tc>
      </w:tr>
      <w:tr>
        <w:trPr/>
        <w:tc>
          <w:tcPr>
            <w:tcW w:type="dxa" w:w="79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УТ-1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Различение модулей с одинаковыми именами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FR-12, FR-13 / StH-01</w:t>
            </w:r>
          </w:p>
        </w:tc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Дополнить FR-12: директива import "путь.loom" as имя; задаёт псевдоним пространства имён; при совпадении имён модулей (в том числе со стандартным модулем) без псевдонима – ошибка компиляции.</w:t>
            </w:r>
          </w:p>
        </w:tc>
      </w:tr>
      <w:tr>
        <w:trPr/>
        <w:tc>
          <w:tcPr>
            <w:tcW w:type="dxa" w:w="79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УТ-2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Чтение при исчерпании входного потока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FR-24 / UC-2, альт. поток 5</w:t>
            </w:r>
          </w:p>
        </w:tc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Дополнить FR-24: console.readLine возвращает пустую строку, а новая функция console.eof(): bool возвращает true после исчерпания ввода.</w:t>
            </w:r>
          </w:p>
        </w:tc>
      </w:tr>
      <w:tr>
        <w:trPr/>
        <w:tc>
          <w:tcPr>
            <w:tcW w:type="dxa" w:w="79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УТ-3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Сообщение об успешной сборке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FR-25 / UC-1, шаг 8</w:t>
            </w:r>
          </w:p>
        </w:tc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Дополнить FR-25: при успехе выводятся список модулей и нативных модулей, число функций и структур, размер файла и время сборки.</w:t>
            </w:r>
          </w:p>
        </w:tc>
      </w:tr>
      <w:tr>
        <w:trPr/>
        <w:tc>
          <w:tcPr>
            <w:tcW w:type="dxa" w:w="79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УТ-4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Имя файла внешней библиотеки и порядок поиска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FR-14, NFR-08 / UC-3, шаги 2 и 5; StH-02</w:t>
            </w:r>
          </w:p>
        </w:tc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Имени mylib соответствует mylib.dll в Windows и libmylib.so в Linux; поиск – сначала в каталоге файла байткода, затем в каталогах ‑‑lib‑path в порядке указания; при неудаче выводятся ожидаемое имя файла и просмотренные каталоги.</w:t>
            </w:r>
          </w:p>
        </w:tc>
      </w:tr>
      <w:tr>
        <w:trPr/>
        <w:tc>
          <w:tcPr>
            <w:tcW w:type="dxa" w:w="79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УТ-5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Типы выражений в синтаксическом дереве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FR-18 / UC-4, шаг 4; StH-03</w:t>
            </w:r>
          </w:p>
        </w:tc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Дополнить FR-18: ‑‑dump‑ast выводит дерево после семантического анализа с типом каждого выражения; при семантических ошибках – дерево без типов и сообщения об ошибках.</w:t>
            </w:r>
          </w:p>
        </w:tc>
      </w:tr>
      <w:tr>
        <w:trPr/>
        <w:tc>
          <w:tcPr>
            <w:tcW w:type="dxa" w:w="79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УТ-6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Сравнение структур и массивов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FR-04, FR-09, FR-10 / StH-01</w:t>
            </w:r>
          </w:p>
        </w:tc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Операторы == и != допускаются для int, float, bool и string; для структур и массивов – ошибка компиляции (сравнение выполняется функцией, написанной программистом).</w:t>
            </w:r>
          </w:p>
        </w:tc>
      </w:tr>
      <w:tr>
        <w:trPr/>
        <w:tc>
          <w:tcPr>
            <w:tcW w:type="dxa" w:w="79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УТ-7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Состав документации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StH-03, StH-05 / требование отсутствует</w:t>
            </w:r>
          </w:p>
        </w:tc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Добавить требование FR-28: спецификация языка с грамматикой в РБНФ, спецификация формата байткода и набора инструкций, руководство программиста с примерами, руководство по нативным библиотекам, справочник кодов ошибок.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 Итог проверки</w:t>
      </w:r>
    </w:p>
    <w:p>
      <w:r>
        <w:rPr>
          <w:rFonts w:ascii="Times New Roman" w:hAnsi="Times New Roman" w:cs="Times New Roman" w:eastAsia="Times New Roman"/>
        </w:rPr>
        <w:t>Перечень из 41 требований в целом полон и непротиворечив для реализации основных процессов системы: компиляции многофайловой программы, её проверки и выполнения в виртуальной машине, подключения нативных библиотек и просмотра промежуточных представлений. Каждый стейкхолдер обеспечен требованиями, все обязательные конструкции задания закреплены требованиями приоритета Must Have; 28 из 32 шагов основных потоков обеспечены полностью, 4 – частично, 1 альтернативный поток требованиями не описан. Найдено 7 формулировок с неопределёнными границами и 6 потенциальных конфликтов; для конфликтов выбраны стратегии разрешения, прямых противоречий нет. Необходимо закрыть уточнения УТ-1 – УТ-7 и скорректировать требования и сценарии.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</w:r>
    <w:r>
      <w:rPr>
        <w:rFonts w:ascii="Times New Roman" w:hAnsi="Times New Roman" w:cs="Times New Roman" w:eastAsia="Times New Roman"/>
        <w:sz w:val="24"/>
      </w:rPr>
      <w:instrText xml:space="preserve"> PAGE </w:instrText>
    </w:r>
    <w:r>
      <w:rPr>
        <w:rFonts w:ascii="Times New Roman" w:hAnsi="Times New Roman" w:cs="Times New Roman" w:eastAsia="Times New Roman"/>
        <w:sz w:val="24"/>
      </w:rPr>
      <w:fldChar w:fldCharType="separate"/>
    </w:r>
    <w:r>
      <w:rPr>
        <w:rFonts w:ascii="Times New Roman" w:hAnsi="Times New Roman" w:cs="Times New Roman" w:eastAsia="Times New Roman"/>
        <w:sz w:val="24"/>
      </w:rPr>
      <w:t>1</w:t>
    </w:r>
    <w:r>
      <w:rPr>
        <w:rFonts w:ascii="Times New Roman" w:hAnsi="Times New Roman" w:cs="Times New Roman" w:eastAsia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/>
      </w:rPr>
    </w:lvl>
  </w:abstractNum>
  <w:abstractNum w:abstractNumId="91">
    <w:multiLevelType w:val="singleLevel"/>
    <w:lvl w:ilvl="0">
      <w:start w:val="1"/>
      <w:numFmt w:val="decimal"/>
      <w:suff w:val="space"/>
      <w:lvlText w:val="%1)"/>
      <w:lvlJc w:val="left"/>
      <w:pPr>
        <w:ind w:left="0" w:firstLine="709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 w:left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