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certain categories of messages can nonetheless be detected with high precision (above 80%) and reasonable recall (above 50%) using existing text-classification learning methods </w:t>
      </w:r>
      <w:r/>
      <w:r>
        <w:t>(email analysis.pdf)</w:t>
      </w:r>
      <w:r>
        <w:t>.</w:t>
      </w:r>
      <w:r/>
    </w:p>
    <w:p>
      <w:pPr>
        <w:jc w:val="center"/>
      </w:pPr>
      <w:r>
        <w:t>Igor A jan 17, 2012</w:t>
      </w:r>
      <w:r/>
    </w:p>
    <w:p>
      <w:pPr>
        <w:jc w:val="right"/>
      </w:pPr>
      <w:r>
        <w:t>Lviv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