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certain categories of messages can nonetheless be detected with high precision (above 80%) and reasonable recall (above 50%) using existing text-classification learning methods </w:t>
      </w:r>
      <w:r/>
      <w:r>
        <w:t>(email analysis.pdf)</w:t>
      </w:r>
      <w:r>
        <w:t>.</w:t>
      </w:r>
      <w:r/>
    </w:p>
    <w:p>
      <w:pPr>
        <w:jc w:val="center"/>
      </w:pPr>
      <w:r>
        <w:rPr>
          <w:b/>
        </w:rPr>
        <w:t>Igor</w:t>
      </w:r>
      <w:r>
        <w:t> A 2001 yea certain categories of messages can no</w:t>
      </w:r>
      <w:r/>
      <w:r>
        <w:t>netheless be</w:t>
      </w:r>
      <w:r>
        <w:t> detected with high precision (above 80%) and reasonable recall (above 50%) using existing text-classification learning methods </w:t>
      </w:r>
      <w:r/>
      <w:r>
        <w:t>(email analysis.pdf)</w:t>
      </w:r>
      <w:r>
        <w:t>.</w:t>
      </w:r>
      <w:r/>
    </w:p>
    <w:p>
      <w:pPr/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