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certain categories of messages can nonetheless be detected with high precision (above 80%) and reasonable recall (above 50%) using existing text-classification learning methods </w:t>
      </w:r>
      <w:r/>
      <w:r>
        <w:rPr>
          <w:i/>
        </w:rPr>
        <w:t>(email analysis.pdf)</w:t>
      </w:r>
      <w:r>
        <w:t>.</w:t>
      </w:r>
      <w:r/>
    </w:p>
    <w:p>
      <w:pPr>
        <w:jc w:val="center"/>
      </w:pPr>
      <w:r>
        <w:rPr>
          <w:b/>
        </w:rPr>
        <w:t>Igor</w:t>
      </w:r>
      <w:r>
        <w:t> A 2001 year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