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СИСТЕМА МЕНЕДЖМЕНТА КАЧЕСТВА ГАУЗ «ООКЦХТ»</w:t>
        <w:br/>
        <w:br/>
      </w:r>
    </w:p>
    <w:p>
      <w:pPr>
        <w:jc w:val="center"/>
      </w:pPr>
      <w:r>
        <w:rPr>
          <w:b/>
        </w:rPr>
        <w:t>Стандартная операционная процедура</w:t>
        <w:br/>
        <w:br/>
      </w:r>
    </w:p>
    <w:p>
      <w:pPr>
        <w:jc w:val="center"/>
      </w:pPr>
      <w:r>
        <w:t>Направление стандартизации: Лабораторная диагностика</w:t>
        <w:br/>
        <w:br/>
      </w:r>
    </w:p>
    <w:p>
      <w:pPr>
        <w:jc w:val="center"/>
      </w:pPr>
      <w:r>
        <w:rPr>
          <w:b/>
          <w:sz w:val="32"/>
        </w:rPr>
        <w:t>ПРИЕМ, РЕГИСТРАЦИЯ И ПОДГОТОВКА ЛИКВОРА К ИССЛЕДОВАНИЮ</w:t>
        <w:br/>
        <w:br/>
      </w:r>
    </w:p>
    <w:p/>
    <w:p/>
    <w:p/>
    <w:p/>
    <w:p/>
    <w:p/>
    <w:p/>
    <w:p/>
    <w:p>
      <w:pPr>
        <w:jc w:val="center"/>
      </w:pPr>
      <w:r>
        <w:t>г. Оренбург, 2026</w:t>
      </w:r>
    </w:p>
    <w:p>
      <w:r>
        <w:br w:type="page"/>
      </w:r>
    </w:p>
    <w:p>
      <w:pPr>
        <w:jc w:val="center"/>
      </w:pPr>
      <w:r>
        <w:rPr>
          <w:b/>
        </w:rPr>
        <w:t>ЛИСТ СОГЛАСОВАНИЯ:</w:t>
        <w:br/>
      </w:r>
    </w:p>
    <w:p>
      <w:r>
        <w:br/>
        <w:t>Разработал:</w:t>
      </w:r>
    </w:p>
    <w:p>
      <w:r>
        <w:t>Заведующий КДЛ _________________ / _________________/</w:t>
      </w:r>
    </w:p>
    <w:p>
      <w:r>
        <w:br/>
        <w:t>Проверил:</w:t>
      </w:r>
    </w:p>
    <w:p>
      <w:r>
        <w:t>Ответственный за качество _________________ / _________________/</w:t>
      </w:r>
    </w:p>
    <w:p>
      <w:r>
        <w:br/>
        <w:t>Утвердил:</w:t>
      </w:r>
    </w:p>
    <w:p>
      <w:r>
        <w:t>Главный врач ГАУЗ «ООКЦХТ» _________________ / _________________/</w:t>
      </w:r>
    </w:p>
    <w:p>
      <w:r>
        <w:br w:type="page"/>
      </w:r>
    </w:p>
    <w:p>
      <w:pPr>
        <w:jc w:val="center"/>
      </w:pPr>
      <w:r>
        <w:rPr>
          <w:b/>
        </w:rPr>
        <w:t>ОГЛАВЛЕНИЕ</w:t>
        <w:br/>
      </w:r>
    </w:p>
    <w:p>
      <w:r>
        <w:t>1. Область применения</w:t>
      </w:r>
    </w:p>
    <w:p>
      <w:r>
        <w:t>2. Нормативные ссылки</w:t>
      </w:r>
    </w:p>
    <w:p>
      <w:r>
        <w:t>3. Термины и определения</w:t>
      </w:r>
    </w:p>
    <w:p>
      <w:r>
        <w:t>4. Обозначения и сокращения</w:t>
      </w:r>
    </w:p>
    <w:p>
      <w:r>
        <w:t>5. Основные нормативные положения</w:t>
      </w:r>
    </w:p>
    <w:p>
      <w:r>
        <w:t>5.1. Требования безопасности</w:t>
      </w:r>
    </w:p>
    <w:p>
      <w:r>
        <w:t>5.2. Требования к персоналу</w:t>
      </w:r>
    </w:p>
    <w:p>
      <w:r>
        <w:t>5.3. Требования к помещению и оборудованию</w:t>
      </w:r>
    </w:p>
    <w:p>
      <w:r>
        <w:t>5.4. Процедура выполнения работ</w:t>
      </w:r>
    </w:p>
    <w:p>
      <w:r>
        <w:t>5.5. Оформление и регистрация результатов</w:t>
      </w:r>
    </w:p>
    <w:p>
      <w:r>
        <w:t>5.6. Контроль качества</w:t>
      </w:r>
    </w:p>
    <w:p>
      <w:r>
        <w:t>6. Приложения</w:t>
      </w:r>
    </w:p>
    <w:p>
      <w:r>
        <w:t>7. Лист регистрации изменений</w:t>
      </w:r>
    </w:p>
    <w:p>
      <w:r>
        <w:br w:type="page"/>
      </w:r>
    </w:p>
    <w:p>
      <w:pPr>
        <w:jc w:val="center"/>
      </w:pPr>
      <w:r>
        <w:rPr>
          <w:b/>
        </w:rPr>
        <w:t>1. ОБЛАСТЬ ПРИМЕНЕНИЯ</w:t>
        <w:br/>
      </w:r>
    </w:p>
    <w:p>
      <w:r>
        <w:t>Настоящая СОП распространяется на процедуру преаналитического этапа исследования спинномозговой жидкости (ликвора) в КДЛ ГАУЗ «ООКЦХТ».</w:t>
      </w:r>
    </w:p>
    <w:p>
      <w:r>
        <w:t>Область применения включает: прием, регистрацию, оценку пригодности, центрифугирование, хранение и транспортировку.</w:t>
      </w:r>
    </w:p>
    <w:p>
      <w:pPr>
        <w:jc w:val="center"/>
      </w:pPr>
      <w:r>
        <w:rPr>
          <w:b/>
        </w:rPr>
        <w:br/>
        <w:t>2. НОРМАТИВНЫЕ ССЫЛКИ</w:t>
        <w:br/>
      </w:r>
    </w:p>
    <w:p>
      <w:r>
        <w:t>ГОСТ ISO 15189-2015, ГОСТ Р 53434-2009, МУ 4.2.2039-05, СанПиН 1.2.3685-21, СП 1.3.3686-21, Приказ Минздрава РФ № 203н.</w:t>
      </w:r>
    </w:p>
    <w:p>
      <w:pPr>
        <w:jc w:val="center"/>
      </w:pPr>
      <w:r>
        <w:rPr>
          <w:b/>
        </w:rPr>
        <w:br/>
        <w:t>3. ТЕРМИНЫ И ОПРЕДЕЛЕНИЯ</w:t>
        <w:br/>
      </w:r>
    </w:p>
    <w:p>
      <w:r>
        <w:rPr>
          <w:b/>
        </w:rPr>
        <w:t xml:space="preserve">Биологический материал: </w:t>
      </w:r>
      <w:r>
        <w:t>спинномозговой жидкости (ликвора)</w:t>
      </w:r>
    </w:p>
    <w:p>
      <w:r>
        <w:rPr>
          <w:b/>
        </w:rPr>
        <w:t xml:space="preserve">Преаналитический этап: </w:t>
      </w:r>
      <w:r>
        <w:t>Этап от взятия до начала анализа</w:t>
      </w:r>
    </w:p>
    <w:p>
      <w:r>
        <w:rPr>
          <w:b/>
        </w:rPr>
        <w:t xml:space="preserve">Ликвор: </w:t>
      </w:r>
      <w:r>
        <w:t>Спинномозговая жидкость</w:t>
      </w:r>
    </w:p>
    <w:p>
      <w:pPr>
        <w:jc w:val="center"/>
      </w:pPr>
      <w:r>
        <w:rPr>
          <w:b/>
        </w:rPr>
        <w:br/>
        <w:t>4. ОБОЗНАЧЕНИЯ И СОКРАЩЕНИЯ</w:t>
        <w:br/>
      </w:r>
    </w:p>
    <w:p>
      <w:r>
        <w:t>СОП, КДЛ, ГАУЗ «ООКЦХТ», ИС, СИЗ</w:t>
      </w:r>
    </w:p>
    <w:p>
      <w:r>
        <w:t>СМЖ – спинномозговая жидкость</w:t>
      </w:r>
    </w:p>
    <w:p>
      <w:pPr>
        <w:jc w:val="center"/>
      </w:pPr>
      <w:r>
        <w:rPr>
          <w:b/>
        </w:rPr>
        <w:br/>
        <w:t>5. ОСНОВНЫЕ НОРМАТИВНЫЕ ПОЛОЖЕНИЯ</w:t>
        <w:br/>
      </w:r>
    </w:p>
    <w:p>
      <w:r>
        <w:rPr>
          <w:b/>
        </w:rPr>
        <w:t>5.1. Требования безопасности</w:t>
        <w:br/>
      </w:r>
    </w:p>
    <w:p>
      <w:r>
        <w:t>Работа в спецодежде, использование СИЗ, дезинфекция поверхностей.</w:t>
      </w:r>
    </w:p>
    <w:p>
      <w:r>
        <w:rPr>
          <w:b/>
        </w:rPr>
        <w:t>5.2. Требования к персоналу</w:t>
        <w:br/>
      </w:r>
    </w:p>
    <w:p>
      <w:r>
        <w:t>Допускаются сотрудники с образованием, прошедшие инструктаж и ознакомленные с СОП.</w:t>
      </w:r>
    </w:p>
    <w:p>
      <w:r>
        <w:rPr>
          <w:b/>
        </w:rPr>
        <w:t>5.3. Требования к помещению</w:t>
        <w:br/>
      </w:r>
    </w:p>
    <w:p>
      <w:r>
        <w:t>Температура 18-22°С, влажность 40-60%, наличие холодильников, центрифуг.</w:t>
      </w:r>
    </w:p>
    <w:p>
      <w:r>
        <w:rPr>
          <w:b/>
        </w:rPr>
        <w:t>5.4. Процедура</w:t>
        <w:br/>
      </w:r>
    </w:p>
    <w:p>
      <w:r>
        <w:t>5.4.1. Прием: проверка целостности, сверка данных, оценка объема и вида, регистрация в ИС.</w:t>
      </w:r>
    </w:p>
    <w:p>
      <w:r>
        <w:t>5.4.2. Критерии: правильное оформление, температурный режим, достаточный объем.</w:t>
      </w:r>
    </w:p>
    <w:p>
      <w:r>
        <w:t>Ликвор доставляется немедленно.</w:t>
      </w:r>
    </w:p>
    <w:p>
      <w:r>
        <w:t>5.4.3. Подготовка: перемешивание, центрифугирование 1500-2000 об/мин 10 мин.</w:t>
      </w:r>
    </w:p>
    <w:p>
      <w:r>
        <w:t>5.4.4. Хранение: 2-8°С не более 24 часов.</w:t>
      </w:r>
    </w:p>
    <w:p>
      <w:r>
        <w:rPr>
          <w:b/>
        </w:rPr>
        <w:t>5.5. Результаты</w:t>
        <w:br/>
      </w:r>
    </w:p>
    <w:p>
      <w:r>
        <w:t>Регистрация в ИС, передача врачу.</w:t>
      </w:r>
    </w:p>
    <w:p>
      <w:r>
        <w:rPr>
          <w:b/>
        </w:rPr>
        <w:t>5.6. Контроль качества</w:t>
        <w:br/>
      </w:r>
    </w:p>
    <w:p>
      <w:r>
        <w:t>Мониторинг оборудования, участие в ФСВОК.</w:t>
      </w:r>
    </w:p>
    <w:p>
      <w:pPr>
        <w:jc w:val="center"/>
      </w:pPr>
      <w:r>
        <w:rPr>
          <w:b/>
        </w:rPr>
        <w:br/>
        <w:t>6. ПРИЛОЖЕНИЯ</w:t>
        <w:br/>
      </w:r>
    </w:p>
    <w:p>
      <w:r>
        <w:t>Приложение А. Журнал регистрации</w:t>
      </w:r>
    </w:p>
    <w:p>
      <w:r>
        <w:t>Приложение Б. Критерии отбраковки</w:t>
      </w:r>
    </w:p>
    <w:p>
      <w:r>
        <w:br w:type="page"/>
      </w:r>
    </w:p>
    <w:p>
      <w:pPr>
        <w:jc w:val="center"/>
      </w:pPr>
      <w:r>
        <w:rPr>
          <w:b/>
        </w:rPr>
        <w:t>7. ЛИСТ РЕГИСТРАЦИИ ИЗМЕНЕНИЙ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 версии</w:t>
            </w:r>
          </w:p>
        </w:tc>
        <w:tc>
          <w:tcPr>
            <w:tcW w:type="dxa" w:w="1728"/>
          </w:tcPr>
          <w:p>
            <w:r>
              <w:t>Дата</w:t>
            </w:r>
          </w:p>
        </w:tc>
        <w:tc>
          <w:tcPr>
            <w:tcW w:type="dxa" w:w="1728"/>
          </w:tcPr>
          <w:p>
            <w:r>
              <w:t>Основание</w:t>
            </w:r>
          </w:p>
        </w:tc>
        <w:tc>
          <w:tcPr>
            <w:tcW w:type="dxa" w:w="1728"/>
          </w:tcPr>
          <w:p>
            <w:r>
              <w:t>Содержание</w:t>
            </w:r>
          </w:p>
        </w:tc>
        <w:tc>
          <w:tcPr>
            <w:tcW w:type="dxa" w:w="1728"/>
          </w:tcPr>
          <w:p>
            <w:r>
              <w:t>Ответственный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</w:rPr>
        <w:t>ЛИСТ ОЗНАКОМЛЕНИЯ</w:t>
        <w:br/>
      </w:r>
    </w:p>
    <w:p>
      <w:r>
        <w:br/>
        <w:t>Клинико-диагностическая лаборатория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