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ГАУЗ «ООКЦХТ»</w:t>
      </w:r>
    </w:p>
    <w:p/>
    <w:p/>
    <w:p/>
    <w:p/>
    <w:p/>
    <w:p>
      <w:pPr>
        <w:jc w:val="center"/>
      </w:pPr>
      <w:r>
        <w:rPr>
          <w:b/>
          <w:sz w:val="32"/>
        </w:rPr>
        <w:t>СТАНДАРТНАЯ ОПЕРАЦИОННАЯ ПРОЦЕДУРА</w:t>
      </w:r>
    </w:p>
    <w:p/>
    <w:p>
      <w:pPr>
        <w:jc w:val="center"/>
      </w:pPr>
      <w:r>
        <w:rPr>
          <w:b/>
          <w:sz w:val="28"/>
        </w:rPr>
        <w:t>Исследование плевральной жидкости</w:t>
      </w:r>
    </w:p>
    <w:p/>
    <w:p/>
    <w:p/>
    <w:p>
      <w:pPr>
        <w:jc w:val="right"/>
      </w:pPr>
      <w:r>
        <w:rPr>
          <w:sz w:val="20"/>
        </w:rPr>
        <w:t>Код: СОП-КЛД-002</w:t>
      </w:r>
    </w:p>
    <w:p>
      <w:r>
        <w:br w:type="page"/>
      </w:r>
    </w:p>
    <w:p>
      <w:pPr>
        <w:pStyle w:val="Heading1"/>
      </w:pPr>
      <w:r>
        <w:t>ЛИСТ СОГЛАСОВАНИЯ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Должность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ФИО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Подпись/Дата</w:t>
            </w:r>
          </w:p>
        </w:tc>
      </w:tr>
      <w:tr>
        <w:tc>
          <w:tcPr>
            <w:tcW w:type="dxa" w:w="2880"/>
          </w:tcPr>
          <w:p>
            <w:r>
              <w:t>Разработал:</w:t>
            </w:r>
          </w:p>
        </w:tc>
        <w:tc>
          <w:tcPr>
            <w:tcW w:type="dxa" w:w="2880"/>
          </w:tcPr>
          <w:p>
            <w:r>
              <w:t>Зав. лабораторией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Проверил:</w:t>
            </w:r>
          </w:p>
        </w:tc>
        <w:tc>
          <w:tcPr>
            <w:tcW w:type="dxa" w:w="2880"/>
          </w:tcPr>
          <w:p>
            <w:r>
              <w:t>Главный врач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Утвердил:</w:t>
            </w:r>
          </w:p>
        </w:tc>
        <w:tc>
          <w:tcPr>
            <w:tcW w:type="dxa" w:w="2880"/>
          </w:tcPr>
          <w:p>
            <w:r>
              <w:t>Директор</w:t>
            </w:r>
          </w:p>
        </w:tc>
        <w:tc>
          <w:tcPr>
            <w:tcW w:type="dxa" w:w="2880"/>
          </w:tcPr>
          <w:p/>
        </w:tc>
      </w:tr>
    </w:tbl>
    <w:p>
      <w:r>
        <w:br w:type="page"/>
      </w:r>
    </w:p>
    <w:p>
      <w:pPr>
        <w:pStyle w:val="Heading1"/>
      </w:pPr>
      <w:r>
        <w:t>ОГЛАВЛЕНИЕ</w:t>
      </w:r>
    </w:p>
    <w:p>
      <w:r>
        <w:t>1. Область применения</w:t>
      </w:r>
    </w:p>
    <w:p>
      <w:r>
        <w:t>2. Нормативные ссылки</w:t>
      </w:r>
    </w:p>
    <w:p>
      <w:r>
        <w:t>3. Термины и определения</w:t>
      </w:r>
    </w:p>
    <w:p>
      <w:r>
        <w:t>4. Обозначения и сокращения</w:t>
      </w:r>
    </w:p>
    <w:p>
      <w:r>
        <w:t>5. Основные нормативные положения</w:t>
      </w:r>
    </w:p>
    <w:p>
      <w:r>
        <w:t xml:space="preserve">   5.1. Требования безопасности</w:t>
      </w:r>
    </w:p>
    <w:p>
      <w:r>
        <w:t xml:space="preserve">   5.2. Требования к персоналу</w:t>
      </w:r>
    </w:p>
    <w:p>
      <w:r>
        <w:t xml:space="preserve">   5.3. Требования к помещению и оборудованию</w:t>
      </w:r>
    </w:p>
    <w:p>
      <w:r>
        <w:t xml:space="preserve">   5.4. Преаналитический этап</w:t>
      </w:r>
    </w:p>
    <w:p>
      <w:r>
        <w:t xml:space="preserve">   5.5. Аналитический этап</w:t>
      </w:r>
    </w:p>
    <w:p>
      <w:r>
        <w:t xml:space="preserve">   5.6. Постаналитический этап</w:t>
      </w:r>
    </w:p>
    <w:p>
      <w:r>
        <w:t xml:space="preserve">   5.7. Контроль качества</w:t>
      </w:r>
    </w:p>
    <w:p>
      <w:r>
        <w:t>6. Приложения</w:t>
      </w:r>
    </w:p>
    <w:p>
      <w:r>
        <w:t>7. Лист регистрации изменений</w:t>
      </w:r>
    </w:p>
    <w:p>
      <w:r>
        <w:br w:type="page"/>
      </w:r>
    </w:p>
    <w:p>
      <w:pPr>
        <w:pStyle w:val="Heading1"/>
      </w:pPr>
      <w:r>
        <w:t>1. ОБЛАСТЬ ПРИМЕНЕНИЯ</w:t>
      </w:r>
    </w:p>
    <w:p>
      <w:r>
        <w:t>Настоящая СОП распространяется на процедуру приема, регистрации, доставки и исследования биологического материала (плевральная жидкость) в лаборатории ГАУЗ «ООКЦХТ».</w:t>
      </w:r>
    </w:p>
    <w:p>
      <w:pPr>
        <w:pStyle w:val="Heading1"/>
      </w:pPr>
      <w:r>
        <w:t>2. НОРМАТИВНЫЕ ССЫЛКИ</w:t>
      </w:r>
    </w:p>
    <w:p>
      <w:pPr>
        <w:pStyle w:val="ListBullet"/>
      </w:pPr>
      <w:r>
        <w:t>ГОСТ ISO 15189-2015 «Лаборатории медицинские. Частные требования к качеству и компетентности»</w:t>
      </w:r>
    </w:p>
    <w:p>
      <w:pPr>
        <w:pStyle w:val="ListBullet"/>
      </w:pPr>
      <w:r>
        <w:t>ГОСТ Р 53434-2009 «Принципы надлежащей лабораторной практики»</w:t>
      </w:r>
    </w:p>
    <w:p>
      <w:pPr>
        <w:pStyle w:val="ListBullet"/>
      </w:pPr>
      <w:r>
        <w:t>СанПиН 1.3.3686-21 «Санитарно-эпидемиологические требования при работе с микроорганизмами»</w:t>
      </w:r>
    </w:p>
    <w:p>
      <w:pPr>
        <w:pStyle w:val="ListBullet"/>
      </w:pPr>
      <w:r>
        <w:t>СП 1.3.3118-13 «Безопасность работы с микроорганизмами I-II групп патогенности»</w:t>
      </w:r>
    </w:p>
    <w:p>
      <w:pPr>
        <w:pStyle w:val="ListBullet"/>
      </w:pPr>
      <w:r>
        <w:t>Приказ Минздрава РФ № 203н «Об утверждении критериев оценки качества медицинской помощи»</w:t>
      </w:r>
    </w:p>
    <w:p>
      <w:pPr>
        <w:pStyle w:val="Heading1"/>
      </w:pPr>
      <w:r>
        <w:t>3. ТЕРМИНЫ И ОПРЕДЕЛЕНИЯ</w:t>
      </w:r>
    </w:p>
    <w:p>
      <w:r>
        <w:rPr>
          <w:b/>
        </w:rPr>
        <w:t>Биоматериал</w:t>
      </w:r>
      <w:r>
        <w:t xml:space="preserve"> – плевральная жидкость, полученный от пациента для исследования.</w:t>
      </w:r>
    </w:p>
    <w:p>
      <w:r>
        <w:rPr>
          <w:b/>
        </w:rPr>
        <w:t>Преаналитический этап</w:t>
      </w:r>
      <w:r>
        <w:t xml:space="preserve"> – Все процессы от назначения анализа до доставки пробы в лабораторию.</w:t>
      </w:r>
    </w:p>
    <w:p>
      <w:r>
        <w:rPr>
          <w:b/>
        </w:rPr>
        <w:t>Аналитический этап</w:t>
      </w:r>
      <w:r>
        <w:t xml:space="preserve"> – Непосредственное выполнение исследования на анализаторе/микроскопе.</w:t>
      </w:r>
    </w:p>
    <w:p>
      <w:r>
        <w:rPr>
          <w:b/>
        </w:rPr>
        <w:t>Постаналитический этап</w:t>
      </w:r>
      <w:r>
        <w:t xml:space="preserve"> – Интерпретация, оформление и выдача результатов.</w:t>
      </w:r>
    </w:p>
    <w:p>
      <w:pPr>
        <w:pStyle w:val="Heading1"/>
      </w:pPr>
      <w:r>
        <w:t>4. ОБОЗНАЧЕНИЯ И СОКРАЩЕНИЯ</w:t>
      </w:r>
    </w:p>
    <w:p>
      <w:r>
        <w:t>СОП – Стандартная операционная процедура</w:t>
      </w:r>
    </w:p>
    <w:p>
      <w:r>
        <w:t>ГАУЗ «ООКЦХТ» – Государственное автономное учреждение здравоохранения «Областной онкологический клинический центр хирургии и травматологии»</w:t>
      </w:r>
    </w:p>
    <w:p>
      <w:r>
        <w:t>ПК – Персональный компьютер</w:t>
      </w:r>
    </w:p>
    <w:p>
      <w:pPr>
        <w:pStyle w:val="Heading1"/>
      </w:pPr>
      <w:r>
        <w:t>5. ОСНОВНЫЕ НОРМАТИВНЫЕ ПОЛОЖЕНИЯ</w:t>
      </w:r>
    </w:p>
    <w:p>
      <w:pPr>
        <w:pStyle w:val="Heading2"/>
      </w:pPr>
      <w:r>
        <w:t>5.1. Требования безопасности</w:t>
      </w:r>
    </w:p>
    <w:p>
      <w:r>
        <w:t>Работа с биоматериалом проводится в условиях, исключающих контаминацию. Персонал использует СИЗ (халат, перчатки, маска, очки). Все манипуляции проводятся в боксе безопасности II класса защиты.</w:t>
      </w:r>
    </w:p>
    <w:p>
      <w:pPr>
        <w:pStyle w:val="Heading2"/>
      </w:pPr>
      <w:r>
        <w:t>5.2. Требования к персоналу</w:t>
      </w:r>
    </w:p>
    <w:p>
      <w:r>
        <w:t>К работе допускаются специалисты с высшим или средним медицинским образованием, прошедшие обучение по данной СОП и инструктаж по технике безопасности.</w:t>
      </w:r>
    </w:p>
    <w:p>
      <w:pPr>
        <w:pStyle w:val="Heading2"/>
      </w:pPr>
      <w:r>
        <w:t>5.3. Требования к помещению и оборудованию</w:t>
      </w:r>
    </w:p>
    <w:p>
      <w:r>
        <w:t>Лаборатория должна быть оснащена микроскопами, центрифугами, анализаторами (при наличии), холодильным оборудованием. Температура в помещении 18-23°C.</w:t>
      </w:r>
    </w:p>
    <w:p>
      <w:pPr>
        <w:pStyle w:val="Heading2"/>
      </w:pPr>
      <w:r>
        <w:t>5.4. Преаналитический этап</w:t>
      </w:r>
    </w:p>
    <w:p>
      <w:r>
        <w:t>1. Забор плевральная жидкость: осуществляется врачом строго по инструкции (люмбальная пункция / торакоцентез) в стерильную пробирку.</w:t>
        <w:br/>
        <w:t>2. Маркировка: ФИО пациента, дата рождения, дата и время забора, тип материала.</w:t>
        <w:br/>
        <w:t>3. Транспортировка: доставляется в лабораторию в течение 1 часа в термоконтейнере при температуре +2...+8°C (или комнатной, если требуется нативный анализ).</w:t>
        <w:br/>
        <w:t>4. Регистрация: внесение данных в журнал или ЛИС, присвоение штрих-кода.</w:t>
      </w:r>
    </w:p>
    <w:p>
      <w:pPr>
        <w:pStyle w:val="Heading2"/>
      </w:pPr>
      <w:r>
        <w:t>5.5. Аналитический этап</w:t>
      </w:r>
    </w:p>
    <w:p>
      <w:r>
        <w:t>1. Макроскопия: оценка цвета, прозрачности, наличия хлопьев, крови.</w:t>
        <w:br/>
        <w:t>2. Цитология: приготовление мазков, окраска по Романовскому-Гимзе/Папаниколау, микроскопия.</w:t>
        <w:br/>
        <w:t>3. Биохимия/Иммунология: проведение тестов на анализаторе согласно инструкциям производителя.</w:t>
        <w:br/>
        <w:t>4. Микробиология: посев на питательные среды при подозрении на инфекцию.</w:t>
      </w:r>
    </w:p>
    <w:p>
      <w:pPr>
        <w:pStyle w:val="Heading2"/>
      </w:pPr>
      <w:r>
        <w:t>5.6. Постаналитический этап</w:t>
      </w:r>
    </w:p>
    <w:p>
      <w:r>
        <w:t>1. Верификация результатов врачом КЛД.</w:t>
        <w:br/>
        <w:t>2. Внесение результатов в бланк/ЛИС.</w:t>
        <w:br/>
        <w:t>3. Выдача результата лечащему врачу или пациенту.</w:t>
        <w:br/>
        <w:t>4. Утилизация биоматериала после исследования.</w:t>
      </w:r>
    </w:p>
    <w:p>
      <w:pPr>
        <w:pStyle w:val="Heading2"/>
      </w:pPr>
      <w:r>
        <w:t>5.7. Контроль качества</w:t>
      </w:r>
    </w:p>
    <w:p>
      <w:r>
        <w:t>Ежедневный контроль качества оборудования, использование контрольных материалов, участие в системе внешней оценки качества (ФСВОК).</w:t>
      </w:r>
    </w:p>
    <w:p>
      <w:pPr>
        <w:pStyle w:val="Heading1"/>
      </w:pPr>
      <w:r>
        <w:t>6. ПРИЛОЖЕНИЯ</w:t>
      </w:r>
    </w:p>
    <w:p>
      <w:r>
        <w:t>Приложение А. Форма журнала регистрации образцов.</w:t>
      </w:r>
    </w:p>
    <w:p>
      <w:r>
        <w:t>Приложение Б. Форма бланка результата исследования.</w:t>
      </w:r>
    </w:p>
    <w:p>
      <w:pPr>
        <w:pStyle w:val="Heading1"/>
      </w:pPr>
      <w:r>
        <w:t>7. ЛИСТ РЕГИСТРАЦИИ ИЗМЕНЕНИЙ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Дата введения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Основание изменения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Ответственный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pStyle w:val="Heading1"/>
      </w:pPr>
      <w:r>
        <w:t>ЛИСТ ОЗНАКОМЛЕНИЯ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ФИО сотрудника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Должность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Дата и подпись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