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МЭЙЛ.РУ ФИНАНС</w:t>
        <w:br/>
        <w:t>Примечания к финансовой отчетности</w:t>
        <w:br/>
        <w:t>За год, закончившийся 31 декабря 2022 года</w:t>
        <w:br/>
        <w:t>(в российских рублях, если не указано иное)</w:t>
        <w:br/>
        <w:t>13. Финансовые инструменты и управление рисками (продолжение)</w:t>
        <w:br/>
        <w:t>в) Управление финансовыми рисками (продолжение)</w:t>
        <w:br/>
        <w:t>(ii)</w:t>
        <w:br/>
        <w:t>Риск ликвидности</w:t>
        <w:br/>
        <w:t>Риск ликвидности - это риск того, что у компании возникнут сложности при выполнении обязанностей,</w:t>
        <w:br/>
        <w:t>связанных с финансовыми обязательствами, расчеты по которым осуществляются путем передачи</w:t>
        <w:br/>
        <w:t>денежных средств или другого финансового актива. Подход компании к управлениоликвидностью</w:t>
        <w:br/>
        <w:t>заключается в том, чтобы обеспечить, насколько это возможно, постоянное наличие у компании</w:t>
        <w:br/>
        <w:t>ликвидных средств, достаточных для погашения своих обязательств в срок, как в обычных, так и в</w:t>
        <w:br/>
        <w:t>стрессовых условиях, не допуская возникновения неприемлемых убытков и не подвергая риску</w:t>
        <w:br/>
        <w:t>репутацию компании.</w:t>
        <w:br/>
        <w:t>По состоянию на 31 декабря 2022 года оборотные активы компании превышают её текущие</w:t>
        <w:br/>
        <w:t>обязательства на 67 829 789 руб. (на 31 декабря 2021 года оборотные активы превышают краткосрочные</w:t>
        <w:br/>
        <w:t>обязательства на 38 389 891 руб.).</w:t>
        <w:br/>
        <w:t>Ниже представлена информация о подверженности риску ликвидности. Представлены валовые и</w:t>
        <w:br/>
        <w:t>недисконтированные суммы, включающие расчетные суммы процентных платежей и исключающие</w:t>
        <w:br/>
        <w:t>влияние соглашений о зачете.</w:t>
        <w:br/>
        <w:t>31 декабря 2022</w:t>
        <w:br/>
        <w:t>Контрактные денежные потоки</w:t>
        <w:br/>
        <w:t>Балансовая</w:t>
        <w:br/>
        <w:t>Свыше</w:t>
        <w:br/>
        <w:t>стоимость</w:t>
        <w:br/>
        <w:t>Итого</w:t>
        <w:br/>
        <w:t>до 1 года</w:t>
        <w:br/>
        <w:t>от 1 до 5 лет</w:t>
        <w:br/>
        <w:t>5 лет</w:t>
        <w:br/>
        <w:t>Кредиты и займы,</w:t>
        <w:br/>
        <w:t>15 336 087 171 19 731 751 457 1186 651 457 18 545 100 000</w:t>
        <w:br/>
        <w:t>начисленные проценты</w:t>
        <w:br/>
        <w:t>Торговая и прочая</w:t>
        <w:br/>
        <w:t>кредиторская</w:t>
        <w:br/>
        <w:t>164 291 834</w:t>
        <w:br/>
        <w:t>164 291 834</w:t>
        <w:br/>
        <w:t>164 291 834</w:t>
        <w:br/>
        <w:t>задолженность</w:t>
        <w:br/>
        <w:t>Долгосрочные и</w:t>
        <w:br/>
        <w:t>краткосрочные</w:t>
        <w:br/>
        <w:t>2 078 415</w:t>
        <w:br/>
        <w:t>2 116 298</w:t>
        <w:br/>
        <w:t>700 453</w:t>
        <w:br/>
        <w:t>1 415 844</w:t>
        <w:br/>
        <w:t>обязательства по аренде</w:t>
        <w:br/>
        <w:t>15 502 457 420 19</w:t>
        <w:br/>
        <w:t>898 159 589 1</w:t>
        <w:br/>
        <w:t>351 643 744 18</w:t>
        <w:br/>
        <w:t>546 515 844</w:t>
        <w:br/>
        <w:t>(iii)</w:t>
        <w:br/>
        <w:t>Рыночный риск</w:t>
        <w:br/>
        <w:t>Рыночный риск - это риск того, что изменения рыночных цен, например, обменных курсов иностранных</w:t>
        <w:br/>
        <w:t>валют, ставок процента и цен на акции, окажут негативное влияние на прибыль компании или на</w:t>
        <w:br/>
        <w:t>стоимость имеющихся у нее финансовых инструментов. Цель управления рыночным риском заключается</w:t>
        <w:br/>
        <w:t>в том, чтобы контролировать подверженность рыночному риску и удерживать ее в допустимых пределах,</w:t>
        <w:br/>
        <w:t>при этом добиваясь оптимизации доходности инвестиций.</w:t>
        <w:br/>
        <w:t>(iv)</w:t>
        <w:br/>
        <w:t>Валютный риск.</w:t>
        <w:br/>
        <w:t>Компания не подвержена валютному риску, поскольку не имеет финансовых инструментов, выраженных</w:t>
        <w:br/>
        <w:t>в иностранной валюте.</w:t>
        <w:br/>
        <w:t>22</w:t>
        <w:br/>
      </w:r>
    </w:p>
    <w:p>
      <w:r>
        <w:t>МЭЙЛ.РУ ФИНАНС</w:t>
        <w:br/>
        <w:t>Примечания к финансовой отчетности</w:t>
        <w:br/>
        <w:t>За год, закончившийся 31 декабря 2022 года</w:t>
        <w:br/>
        <w:t>(в российских рублях, если не указано иное)</w:t>
        <w:br/>
        <w:t>13. Финансовые инструменты и управление рисками (продолжение)</w:t>
        <w:br/>
        <w:t>в) Управление финансовыми рисками (продолжение)</w:t>
        <w:br/>
        <w:t>(v)</w:t>
        <w:br/>
        <w:t>Процентный риск.</w:t>
        <w:br/>
        <w:t>Изменения процентных ставок оказывают влияние на привлеченные кредиты и займы, и выданные займы,</w:t>
        <w:br/>
        <w:t>изменяя либо их справедливую стоимость (инструменты с фиксированной ставкой процента), либо</w:t>
        <w:br/>
        <w:t>будущие потоки денежных средств по ним (инструменты с переменной ставкой процента).</w:t>
        <w:br/>
        <w:t>Руководство компании не имеет формализованной политики в части того, в каком соотношении должна</w:t>
        <w:br/>
        <w:t>распределяться подверженность компании между фиксированной и переменной ставками процента.</w:t>
        <w:br/>
        <w:t>Однако при привлечении и выдаче новых кредитов или займов, вопрос о том, какая ставка процента -</w:t>
        <w:br/>
        <w:t>фиксированная или переменная - будет более выгодной для компании на протяжении ожидаемого</w:t>
        <w:br/>
        <w:t>периода до наступления срока погашения, руководство решает на основе собственного</w:t>
        <w:br/>
        <w:t>профессионального суждения.</w:t>
        <w:br/>
        <w:t>Компания не учитывает какие-либо финансовые инструменты с фиксированной ставкой процента в</w:t>
        <w:br/>
        <w:t>порядке, предусмотренном для инструментов, оцениваемых по справедливой стоимости, изменения</w:t>
        <w:br/>
        <w:t>которой отражаются через прибыль или убыток, либо в составе прочей совокупной прибыли. Поэтому</w:t>
        <w:br/>
        <w:t>какое-либо изменение ставок процента на отчетную дату не повлияло бы на величину прибыли или</w:t>
        <w:br/>
        <w:t>убытка за период или собственного капитала.</w:t>
        <w:br/>
        <w:t>14. Условные обязательства и операционные риски</w:t>
        <w:br/>
        <w:t>Налогообложение.</w:t>
        <w:br/>
        <w:t>Российское налоговое, валютное и таможенное законодательство допускает неоднозначное</w:t>
        <w:br/>
        <w:t>толкование и изменения, которые могут происходить достаточно часто.</w:t>
        <w:br/>
        <w:t>Налоговая система Российской Федерации продолжает развиваться и характеризуется частыми</w:t>
        <w:br/>
        <w:t>изменениями законодательных норм, официальных разъяснений и судебных решений, которые</w:t>
        <w:br/>
        <w:t>временами являются противоречивыми, что допускает их неоднозначное толкование различными</w:t>
        <w:br/>
        <w:t>налоговыми органами.</w:t>
        <w:br/>
        <w:t>Налоговые органы имеют право налагать крупные штрафы и начислять пени по налогам, просроченным к</w:t>
        <w:br/>
        <w:t>уплате. Правильность исчисления налогов в отчетном периоде может быть проверена в общем случае в</w:t>
        <w:br/>
        <w:t>течение трех последующих календарных лет. В настоящий момент налоговые органы занимают более</w:t>
        <w:br/>
        <w:t>жесткую и аргументированную позицию в части интерпретации и требований соблюдения налогового</w:t>
        <w:br/>
        <w:t>законодательства.</w:t>
        <w:br/>
        <w:t>Указанные обстоятельства могут привести к тому, что налоговые риски в Российской Федерации будут</w:t>
        <w:br/>
        <w:t>гораздо выше, чем в других странах. Руководство Компании, исходя из своего понимания применимого</w:t>
        <w:br/>
        <w:t>российского налогового законодательства, официальных разъяснений и судебных решений, считает, что</w:t>
        <w:br/>
        <w:t>налоговые обязательства отражены в адекватной сумме. Тем не менее, трактовка этих положений</w:t>
        <w:br/>
        <w:t>налоговыми и судебными органами может быть иной и, в случае, если налоговые органы смогут доказать</w:t>
        <w:br/>
        <w:t>правомерность своей позиции, это может оказать значительное влияние на настоящую финансовую</w:t>
        <w:br/>
        <w:t>отчетность.</w:t>
        <w:br/>
        <w:t>23</w:t>
        <w:br/>
      </w:r>
    </w:p>
    <w:p>
      <w:r>
        <w:t>МЭЙЛ.РУ ФИНАНС</w:t>
        <w:br/>
        <w:t>Примечания к финансовой отчетности</w:t>
        <w:br/>
        <w:t>За год, закончившийся 31 декабря 2022 года</w:t>
        <w:br/>
        <w:t>(в российских рублях, если не указано иное)</w:t>
        <w:br/>
        <w:t>15. Операции со связанными сторонами</w:t>
        <w:br/>
        <w:t>В течение года Компания арендовала помещение у связанной стороны - см.</w:t>
        <w:br/>
        <w:t>Примечание 4.</w:t>
        <w:br/>
        <w:t>В 2020 году был получен заём от связанной стороны в рамках открытой кредитной линии на сумму</w:t>
        <w:br/>
        <w:t>70 000 000 рублей. Общий объём средств, перечисленный в течение 2021 года составил 5 000 000</w:t>
        <w:br/>
        <w:t>рублей. В течение 2022 года транши по данному договору отсутствовали. Срок предоставления</w:t>
        <w:br/>
        <w:t>кредитной линии до 31 декабря 2022 года, кредитная линия является беспроцентной.</w:t>
        <w:br/>
        <w:t>Сумма вознаграждения, выплаченная ключевому управленческому персоналу за двенадцать месяцев,</w:t>
        <w:br/>
        <w:t>закончившихся 31 декабря 2022 года, составила 14 795 рублей (в 2021 году - 69 890 рублей).</w:t>
        <w:br/>
        <w:t>Информация о займах, выданных связанным сторонам, раскрыта в Примечании</w:t>
        <w:br/>
        <w:t>5.</w:t>
        <w:br/>
        <w:t>Вся выручка, признанная в 2022 году, от связанной стороны. Прочие операции, которые были в 2022 году</w:t>
        <w:br/>
        <w:t>со связанными сторонами раскрыты в Примечании 12.</w:t>
        <w:br/>
        <w:t>16. События после отчетной даты</w:t>
        <w:br/>
        <w:t>20 марта 2023 года были выплачены купонные доходы держателям облигаций в размере 590 850 000</w:t>
        <w:br/>
        <w:t>рублей. Прочих существенных событий не происходило.</w:t>
        <w:br/>
        <w:t>24</w:t>
        <w:br/>
      </w:r>
    </w:p>
    <w:p>
      <w:r>
        <w:t>Пронумеровано, прошнуровано и скреплено</w:t>
        <w:br/>
        <w:t>печатью er</w:t>
        <w:br/>
        <w:t>Генеральный директор</w:t>
        <w:br/>
        <w:t>Дрожжина Т.А.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s" w:hAnsi="Times New Roman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