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B6F" w:rsidRPr="00464B6F" w:rsidRDefault="00464B6F" w:rsidP="00464B6F">
      <w:pPr>
        <w:rPr>
          <w:rStyle w:val="a8"/>
          <w:lang w:val="en-US"/>
        </w:rPr>
      </w:pPr>
      <w:r>
        <w:rPr>
          <w:rStyle w:val="a8"/>
          <w:lang w:val="en-US"/>
        </w:rPr>
        <w:t>Internal Note</w:t>
      </w:r>
      <w:r>
        <w:rPr>
          <w:rStyle w:val="a8"/>
          <w:lang w:val="en-US"/>
        </w:rPr>
        <w:tab/>
      </w:r>
      <w:r>
        <w:rPr>
          <w:rStyle w:val="a8"/>
          <w:lang w:val="en-US"/>
        </w:rPr>
        <w:tab/>
      </w:r>
      <w:r>
        <w:rPr>
          <w:rStyle w:val="a8"/>
          <w:lang w:val="en-US"/>
        </w:rPr>
        <w:tab/>
      </w:r>
      <w:r>
        <w:rPr>
          <w:rStyle w:val="a8"/>
          <w:lang w:val="en-US"/>
        </w:rPr>
        <w:tab/>
        <w:t>Date: 2018-07-</w:t>
      </w:r>
      <w:r w:rsidR="00A10F8E">
        <w:rPr>
          <w:rStyle w:val="a8"/>
          <w:lang w:val="en-US"/>
        </w:rPr>
        <w:t>1</w:t>
      </w:r>
      <w:r w:rsidR="006F523C">
        <w:rPr>
          <w:rStyle w:val="a8"/>
          <w:lang w:val="en-US"/>
        </w:rPr>
        <w:t>8</w:t>
      </w:r>
      <w:bookmarkStart w:id="0" w:name="_GoBack"/>
      <w:bookmarkEnd w:id="0"/>
      <w:r>
        <w:rPr>
          <w:rStyle w:val="a8"/>
          <w:lang w:val="en-US"/>
        </w:rPr>
        <w:tab/>
      </w:r>
      <w:r>
        <w:rPr>
          <w:rStyle w:val="a8"/>
          <w:lang w:val="en-US"/>
        </w:rPr>
        <w:tab/>
      </w:r>
      <w:r>
        <w:rPr>
          <w:rStyle w:val="a8"/>
          <w:lang w:val="en-US"/>
        </w:rPr>
        <w:tab/>
      </w:r>
      <w:r>
        <w:rPr>
          <w:rStyle w:val="a8"/>
          <w:lang w:val="en-US"/>
        </w:rPr>
        <w:tab/>
        <w:t>Version: 0.</w:t>
      </w:r>
      <w:r w:rsidR="006F523C">
        <w:rPr>
          <w:rStyle w:val="a8"/>
          <w:lang w:val="en-US"/>
        </w:rPr>
        <w:t>5</w:t>
      </w:r>
    </w:p>
    <w:p w:rsidR="00851373" w:rsidRDefault="00272ACC" w:rsidP="00272ACC">
      <w:pPr>
        <w:pStyle w:val="a3"/>
        <w:rPr>
          <w:lang w:val="en-US"/>
        </w:rPr>
      </w:pPr>
      <w:r>
        <w:rPr>
          <w:lang w:val="en-US"/>
        </w:rPr>
        <w:t>Monte-Carlo simulations for high pressure multiwire chamber test experiment</w:t>
      </w:r>
    </w:p>
    <w:p w:rsidR="00272ACC" w:rsidRDefault="00272ACC" w:rsidP="00272ACC">
      <w:pPr>
        <w:pStyle w:val="a5"/>
        <w:rPr>
          <w:lang w:val="en-US"/>
        </w:rPr>
      </w:pPr>
      <w:r>
        <w:rPr>
          <w:lang w:val="en-US"/>
        </w:rPr>
        <w:t xml:space="preserve">Alexey </w:t>
      </w:r>
      <w:proofErr w:type="spellStart"/>
      <w:r>
        <w:rPr>
          <w:lang w:val="en-US"/>
        </w:rPr>
        <w:t>Dzyuba</w:t>
      </w:r>
      <w:proofErr w:type="spellEnd"/>
      <w:r>
        <w:rPr>
          <w:lang w:val="en-US"/>
        </w:rPr>
        <w:t xml:space="preserve"> (PNPI)</w:t>
      </w:r>
    </w:p>
    <w:p w:rsidR="00272ACC" w:rsidRDefault="00464B6F" w:rsidP="00272ACC">
      <w:pPr>
        <w:rPr>
          <w:lang w:val="en-US"/>
        </w:rPr>
      </w:pPr>
      <w:r>
        <w:rPr>
          <w:lang w:val="en-US"/>
        </w:rPr>
        <w:t xml:space="preserve">Using Monte-Carlo technique the spatial resolution for cathode strip chamber filled by 96% </w:t>
      </w:r>
      <w:proofErr w:type="spellStart"/>
      <w:r>
        <w:rPr>
          <w:lang w:val="en-US"/>
        </w:rPr>
        <w:t>Ar</w:t>
      </w:r>
      <w:proofErr w:type="spellEnd"/>
      <w:r>
        <w:rPr>
          <w:lang w:val="en-US"/>
        </w:rPr>
        <w:t xml:space="preserve"> + 4% CH</w:t>
      </w:r>
      <w:r w:rsidRPr="00464B6F">
        <w:rPr>
          <w:vertAlign w:val="subscript"/>
          <w:lang w:val="en-US"/>
        </w:rPr>
        <w:t>4</w:t>
      </w:r>
      <w:r>
        <w:rPr>
          <w:lang w:val="en-US"/>
        </w:rPr>
        <w:t xml:space="preserve"> of 20 bars pressure has been </w:t>
      </w:r>
      <w:r w:rsidR="00870A25">
        <w:rPr>
          <w:lang w:val="en-US"/>
        </w:rPr>
        <w:t>investigated</w:t>
      </w:r>
      <w:r>
        <w:rPr>
          <w:lang w:val="en-US"/>
        </w:rPr>
        <w:t>.</w:t>
      </w:r>
    </w:p>
    <w:p w:rsidR="00464B6F" w:rsidRDefault="00464B6F" w:rsidP="00464B6F">
      <w:pPr>
        <w:pStyle w:val="1"/>
        <w:rPr>
          <w:lang w:val="en-US"/>
        </w:rPr>
      </w:pPr>
      <w:r>
        <w:rPr>
          <w:lang w:val="en-US"/>
        </w:rPr>
        <w:t>Introduction</w:t>
      </w:r>
    </w:p>
    <w:p w:rsidR="00464B6F" w:rsidRDefault="00464B6F" w:rsidP="00272ACC">
      <w:pPr>
        <w:rPr>
          <w:lang w:val="en-US"/>
        </w:rPr>
      </w:pPr>
      <w:r>
        <w:rPr>
          <w:lang w:val="en-US"/>
        </w:rPr>
        <w:t>High pressure Cathode strip chamber (CSC) is under development in Petersburg Nuclear Physics institute for detection of the elastically scattered electrons</w:t>
      </w:r>
      <w:r w:rsidR="004E2F20">
        <w:rPr>
          <w:lang w:val="en-US"/>
        </w:rPr>
        <w:t>.</w:t>
      </w:r>
    </w:p>
    <w:p w:rsidR="00464B6F" w:rsidRDefault="00464B6F" w:rsidP="004E2F20">
      <w:pPr>
        <w:pStyle w:val="1"/>
        <w:rPr>
          <w:lang w:val="en-US"/>
        </w:rPr>
      </w:pPr>
      <w:r>
        <w:rPr>
          <w:lang w:val="en-US"/>
        </w:rPr>
        <w:t>Experimental setup</w:t>
      </w:r>
    </w:p>
    <w:p w:rsidR="006D7D46" w:rsidRDefault="004E2F20" w:rsidP="00EC048B">
      <w:pPr>
        <w:jc w:val="both"/>
        <w:rPr>
          <w:lang w:val="en-US"/>
        </w:rPr>
      </w:pPr>
      <w:r>
        <w:rPr>
          <w:lang w:val="en-US"/>
        </w:rPr>
        <w:t xml:space="preserve">Proton beam with 1 GeV kinetical energy is used. The CSC prototype consists of 50 mm stainless steel walls and gas volume filled by 96% </w:t>
      </w:r>
      <w:proofErr w:type="spellStart"/>
      <w:r>
        <w:rPr>
          <w:lang w:val="en-US"/>
        </w:rPr>
        <w:t>Ar</w:t>
      </w:r>
      <w:proofErr w:type="spellEnd"/>
      <w:r>
        <w:rPr>
          <w:lang w:val="en-US"/>
        </w:rPr>
        <w:t xml:space="preserve"> + 4% CH</w:t>
      </w:r>
      <w:r w:rsidRPr="00464B6F">
        <w:rPr>
          <w:vertAlign w:val="subscript"/>
          <w:lang w:val="en-US"/>
        </w:rPr>
        <w:t>4</w:t>
      </w:r>
      <w:r>
        <w:rPr>
          <w:lang w:val="en-US"/>
        </w:rPr>
        <w:t xml:space="preserve"> gas mixture of 20 bars pressure</w:t>
      </w:r>
      <w:r w:rsidR="00EC048B">
        <w:rPr>
          <w:lang w:val="en-US"/>
        </w:rPr>
        <w:t xml:space="preserve"> (see Fig.1)</w:t>
      </w:r>
      <w:r>
        <w:rPr>
          <w:lang w:val="en-US"/>
        </w:rPr>
        <w:t>.</w:t>
      </w:r>
      <w:r w:rsidR="006D7D46">
        <w:rPr>
          <w:lang w:val="en-US"/>
        </w:rPr>
        <w:t xml:space="preserve"> </w:t>
      </w:r>
      <w:r w:rsidR="00EC048B">
        <w:rPr>
          <w:lang w:val="en-US"/>
        </w:rPr>
        <w:t>Anode wires of 30 </w:t>
      </w:r>
      <w:r w:rsidR="00EC048B" w:rsidRPr="00EC048B">
        <w:t>μ</w:t>
      </w:r>
      <w:r w:rsidR="00EC048B">
        <w:rPr>
          <w:lang w:val="en-US"/>
        </w:rPr>
        <w:t xml:space="preserve">m diameter are aligned at the center of the gas volume parallel to the </w:t>
      </w:r>
      <w:r w:rsidR="00EC048B" w:rsidRPr="00EC048B">
        <w:rPr>
          <w:i/>
          <w:lang w:val="en-US"/>
        </w:rPr>
        <w:t>x</w:t>
      </w:r>
      <w:r w:rsidR="00EC048B">
        <w:rPr>
          <w:lang w:val="en-US"/>
        </w:rPr>
        <w:t xml:space="preserve">-axis. The step between anode wires are 3 mm. Two planes of cathode strips are constructed from wires aligned in parallel to the </w:t>
      </w:r>
      <w:r w:rsidR="00EC048B" w:rsidRPr="00EC048B">
        <w:rPr>
          <w:i/>
          <w:lang w:val="en-US"/>
        </w:rPr>
        <w:t>y</w:t>
      </w:r>
      <w:r w:rsidR="00EC048B">
        <w:rPr>
          <w:lang w:val="en-US"/>
        </w:rPr>
        <w:t xml:space="preserve">-axis. The distance between cathode strips is 0.5 mm. Cathode wires are joined to strips (5 wires in </w:t>
      </w:r>
      <w:r w:rsidR="00720AA1">
        <w:rPr>
          <w:lang w:val="en-US"/>
        </w:rPr>
        <w:t>each</w:t>
      </w:r>
      <w:r w:rsidR="00EC048B">
        <w:rPr>
          <w:lang w:val="en-US"/>
        </w:rPr>
        <w:t xml:space="preserve"> strip)</w:t>
      </w:r>
      <w:r w:rsidR="00B908D1">
        <w:rPr>
          <w:lang w:val="en-US"/>
        </w:rPr>
        <w:t>.</w:t>
      </w:r>
      <w:r w:rsidR="00EC048B">
        <w:rPr>
          <w:lang w:val="en-US"/>
        </w:rPr>
        <w:t xml:space="preserve"> </w:t>
      </w:r>
      <w:r w:rsidR="00B908D1">
        <w:rPr>
          <w:lang w:val="en-US"/>
        </w:rPr>
        <w:t>S</w:t>
      </w:r>
      <w:r w:rsidR="00EC048B">
        <w:rPr>
          <w:lang w:val="en-US"/>
        </w:rPr>
        <w:t xml:space="preserve">trips </w:t>
      </w:r>
      <w:r w:rsidR="00B908D1">
        <w:rPr>
          <w:lang w:val="en-US"/>
        </w:rPr>
        <w:t>are</w:t>
      </w:r>
      <w:r w:rsidR="00EC048B">
        <w:rPr>
          <w:lang w:val="en-US"/>
        </w:rPr>
        <w:t xml:space="preserve"> 2 mm</w:t>
      </w:r>
      <w:r w:rsidR="00B908D1">
        <w:rPr>
          <w:lang w:val="en-US"/>
        </w:rPr>
        <w:t xml:space="preserve"> width</w:t>
      </w:r>
      <w:r w:rsidR="00EC048B">
        <w:rPr>
          <w:lang w:val="en-US"/>
        </w:rPr>
        <w:t xml:space="preserve"> with 0.5 mm gap </w:t>
      </w:r>
      <w:r w:rsidR="00B908D1">
        <w:rPr>
          <w:lang w:val="en-US"/>
        </w:rPr>
        <w:t xml:space="preserve">in </w:t>
      </w:r>
      <w:r w:rsidR="00EC048B">
        <w:rPr>
          <w:lang w:val="en-US"/>
        </w:rPr>
        <w:t>between.</w:t>
      </w:r>
    </w:p>
    <w:p w:rsidR="00EC048B" w:rsidRDefault="00EC048B" w:rsidP="00EC048B">
      <w:pPr>
        <w:jc w:val="center"/>
        <w:rPr>
          <w:lang w:val="en-US"/>
        </w:rPr>
      </w:pPr>
      <w:r>
        <w:rPr>
          <w:noProof/>
          <w:lang w:val="en-US"/>
        </w:rPr>
        <w:drawing>
          <wp:inline distT="0" distB="0" distL="0" distR="0" wp14:anchorId="2568AE5D" wp14:editId="3BF5E254">
            <wp:extent cx="3333750" cy="2878904"/>
            <wp:effectExtent l="0" t="0" r="0" b="0"/>
            <wp:docPr id="7" name="Рисунок 7" descr="C:\Users\Vostro\playground\2018-07-04_11-0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stro\playground\2018-07-04_11-07-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641" cy="2883128"/>
                    </a:xfrm>
                    <a:prstGeom prst="rect">
                      <a:avLst/>
                    </a:prstGeom>
                    <a:noFill/>
                    <a:ln>
                      <a:noFill/>
                    </a:ln>
                  </pic:spPr>
                </pic:pic>
              </a:graphicData>
            </a:graphic>
          </wp:inline>
        </w:drawing>
      </w:r>
    </w:p>
    <w:p w:rsidR="00EC048B" w:rsidRPr="00EC048B" w:rsidRDefault="00EC048B" w:rsidP="00EC048B">
      <w:pPr>
        <w:jc w:val="center"/>
        <w:rPr>
          <w:b/>
          <w:lang w:val="en-US"/>
        </w:rPr>
      </w:pPr>
      <w:r w:rsidRPr="00EC048B">
        <w:rPr>
          <w:b/>
          <w:lang w:val="en-US"/>
        </w:rPr>
        <w:t>Fig.1 Proposed experimental setup</w:t>
      </w:r>
    </w:p>
    <w:p w:rsidR="004E2F20" w:rsidRDefault="0065263F" w:rsidP="00EC048B">
      <w:pPr>
        <w:jc w:val="both"/>
        <w:rPr>
          <w:lang w:val="en-US"/>
        </w:rPr>
      </w:pPr>
      <w:r>
        <w:rPr>
          <w:lang w:val="en-US"/>
        </w:rPr>
        <w:t>For the Monte-Carlo simulations GEANT-4</w:t>
      </w:r>
      <w:r w:rsidR="00725BEC">
        <w:rPr>
          <w:lang w:val="en-US"/>
        </w:rPr>
        <w:t>.10.4.2</w:t>
      </w:r>
      <w:r>
        <w:rPr>
          <w:lang w:val="en-US"/>
        </w:rPr>
        <w:t xml:space="preserve"> package is used</w:t>
      </w:r>
      <w:r w:rsidR="00725BEC">
        <w:rPr>
          <w:lang w:val="en-US"/>
        </w:rPr>
        <w:t> [</w:t>
      </w:r>
      <w:r w:rsidR="00285017">
        <w:rPr>
          <w:lang w:val="en-US"/>
        </w:rPr>
        <w:t>1</w:t>
      </w:r>
      <w:r w:rsidR="00725BEC">
        <w:rPr>
          <w:lang w:val="en-US"/>
        </w:rPr>
        <w:t>]</w:t>
      </w:r>
      <w:r>
        <w:rPr>
          <w:lang w:val="en-US"/>
        </w:rPr>
        <w:t>.</w:t>
      </w:r>
      <w:r w:rsidR="00725BEC">
        <w:rPr>
          <w:lang w:val="en-US"/>
        </w:rPr>
        <w:t xml:space="preserve"> </w:t>
      </w:r>
      <w:r w:rsidR="006D7D46">
        <w:rPr>
          <w:lang w:val="en-US"/>
        </w:rPr>
        <w:t>The parameters of protons passed one wall of the test chamber is presented on Fig.2.</w:t>
      </w:r>
      <w:r w:rsidR="002517D7">
        <w:rPr>
          <w:lang w:val="en-US"/>
        </w:rPr>
        <w:t xml:space="preserve"> The spi</w:t>
      </w:r>
      <w:r w:rsidR="00EA66C7">
        <w:rPr>
          <w:lang w:val="en-US"/>
        </w:rPr>
        <w:t xml:space="preserve">ke at </w:t>
      </w:r>
      <w:r w:rsidR="00EA66C7" w:rsidRPr="00EA66C7">
        <w:rPr>
          <w:i/>
          <w:lang w:val="en-US"/>
        </w:rPr>
        <w:t>x</w:t>
      </w:r>
      <w:r w:rsidR="00EA66C7">
        <w:rPr>
          <w:lang w:val="en-US"/>
        </w:rPr>
        <w:t xml:space="preserve"> = 0 mm, which is visible on the distribution of proton position on </w:t>
      </w:r>
      <w:r w:rsidR="00EA66C7" w:rsidRPr="00EA66C7">
        <w:rPr>
          <w:i/>
          <w:lang w:val="en-US"/>
        </w:rPr>
        <w:t>x</w:t>
      </w:r>
      <w:r w:rsidR="00EA66C7">
        <w:rPr>
          <w:lang w:val="en-US"/>
        </w:rPr>
        <w:t>-axis after steel wall</w:t>
      </w:r>
      <w:r w:rsidR="001360E5">
        <w:rPr>
          <w:lang w:val="en-US"/>
        </w:rPr>
        <w:t xml:space="preserve"> (central panel)</w:t>
      </w:r>
      <w:r w:rsidR="00EA66C7">
        <w:rPr>
          <w:lang w:val="en-US"/>
        </w:rPr>
        <w:t xml:space="preserve">, is GEANT-4 artefact corresponding to the protons, which have no large angle scattering. For them only ionization process </w:t>
      </w:r>
      <w:r w:rsidR="001360E5">
        <w:rPr>
          <w:lang w:val="en-US"/>
        </w:rPr>
        <w:t>changes</w:t>
      </w:r>
      <w:r w:rsidR="00EA66C7">
        <w:rPr>
          <w:lang w:val="en-US"/>
        </w:rPr>
        <w:t xml:space="preserve"> kinematical distributions (they have transverse momentum component and the polar angle of their momentum is not zero; maximum is about 20 </w:t>
      </w:r>
      <w:proofErr w:type="spellStart"/>
      <w:r w:rsidR="00EA66C7">
        <w:rPr>
          <w:lang w:val="en-US"/>
        </w:rPr>
        <w:t>mrad</w:t>
      </w:r>
      <w:proofErr w:type="spellEnd"/>
      <w:r w:rsidR="00EA66C7">
        <w:rPr>
          <w:lang w:val="en-US"/>
        </w:rPr>
        <w:t>).</w:t>
      </w:r>
      <w:r w:rsidR="001360E5">
        <w:rPr>
          <w:lang w:val="en-US"/>
        </w:rPr>
        <w:t xml:space="preserve"> To consider the effect of the step size a large sample has been generated. With the maximal step size of 10 mm the artifact disappears (see lower panel of Fig.2). </w:t>
      </w:r>
    </w:p>
    <w:p w:rsidR="00334F1D" w:rsidRDefault="00334F1D" w:rsidP="00EC048B">
      <w:pPr>
        <w:jc w:val="both"/>
        <w:rPr>
          <w:lang w:val="en-US"/>
        </w:rPr>
      </w:pPr>
      <w:r>
        <w:rPr>
          <w:lang w:val="en-US"/>
        </w:rPr>
        <w:lastRenderedPageBreak/>
        <w:t xml:space="preserve">To preserve all possible information the </w:t>
      </w:r>
      <w:proofErr w:type="spellStart"/>
      <w:r w:rsidRPr="00725BEC">
        <w:rPr>
          <w:b/>
          <w:lang w:val="en-US"/>
        </w:rPr>
        <w:t>SteppingAction</w:t>
      </w:r>
      <w:proofErr w:type="spellEnd"/>
      <w:r>
        <w:rPr>
          <w:lang w:val="en-US"/>
        </w:rPr>
        <w:t xml:space="preserve"> class is used. Each simulation step with ionization energy deposit in the sensitive volumes (between cathodes and anode) is recorded.</w:t>
      </w:r>
      <w:r w:rsidR="00875AB7">
        <w:rPr>
          <w:lang w:val="en-US"/>
        </w:rPr>
        <w:t xml:space="preserve"> </w:t>
      </w:r>
      <w:r w:rsidR="009F2C68">
        <w:rPr>
          <w:lang w:val="en-US"/>
        </w:rPr>
        <w:t xml:space="preserve">Electrons from ionization drift to the anode wire along electric field lines. They create avalanches near anode wire. The ions produced during avalanche process </w:t>
      </w:r>
      <w:r w:rsidR="00B908D1">
        <w:rPr>
          <w:lang w:val="en-US"/>
        </w:rPr>
        <w:t>induce signal on</w:t>
      </w:r>
      <w:r w:rsidR="009F2C68">
        <w:rPr>
          <w:lang w:val="en-US"/>
        </w:rPr>
        <w:t xml:space="preserve"> cathodes, </w:t>
      </w:r>
      <w:r w:rsidR="00B908D1">
        <w:rPr>
          <w:lang w:val="en-US"/>
        </w:rPr>
        <w:t>which</w:t>
      </w:r>
      <w:r w:rsidR="009F2C68">
        <w:rPr>
          <w:lang w:val="en-US"/>
        </w:rPr>
        <w:t xml:space="preserve"> are recorded.</w:t>
      </w:r>
    </w:p>
    <w:p w:rsidR="00B36763" w:rsidRDefault="00B36763" w:rsidP="00272ACC">
      <w:pPr>
        <w:rPr>
          <w:lang w:val="en-US"/>
        </w:rPr>
      </w:pPr>
      <w:r>
        <w:rPr>
          <w:noProof/>
          <w:lang w:val="en-US"/>
        </w:rPr>
        <w:drawing>
          <wp:inline distT="0" distB="0" distL="0" distR="0">
            <wp:extent cx="5934075" cy="1809750"/>
            <wp:effectExtent l="0" t="0" r="9525" b="0"/>
            <wp:docPr id="5" name="Рисунок 5" descr="C:\Users\Vostro\playground\Prot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stro\playground\Prot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r>
        <w:rPr>
          <w:noProof/>
          <w:lang w:val="en-US"/>
        </w:rPr>
        <w:drawing>
          <wp:inline distT="0" distB="0" distL="0" distR="0">
            <wp:extent cx="5934075" cy="1809750"/>
            <wp:effectExtent l="0" t="0" r="9525" b="0"/>
            <wp:docPr id="6" name="Рисунок 6" descr="C:\Users\Vostro\playground\Proto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stro\playground\Proton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r w:rsidR="003665AA">
        <w:rPr>
          <w:noProof/>
          <w:lang w:val="en-US"/>
        </w:rPr>
        <w:drawing>
          <wp:inline distT="0" distB="0" distL="0" distR="0">
            <wp:extent cx="5937250" cy="1809750"/>
            <wp:effectExtent l="0" t="0" r="6350" b="0"/>
            <wp:docPr id="11" name="Рисунок 11" descr="C:\Users\Vostro\playground\Proton50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stro\playground\Proton50_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rsidR="006D7D46" w:rsidRPr="00860279" w:rsidRDefault="006D7D46" w:rsidP="006D7D46">
      <w:pPr>
        <w:jc w:val="center"/>
        <w:rPr>
          <w:b/>
          <w:lang w:val="en-US"/>
        </w:rPr>
      </w:pPr>
      <w:r w:rsidRPr="00860279">
        <w:rPr>
          <w:b/>
          <w:lang w:val="en-US"/>
        </w:rPr>
        <w:t>Fig.</w:t>
      </w:r>
      <w:r>
        <w:rPr>
          <w:b/>
          <w:lang w:val="en-US"/>
        </w:rPr>
        <w:t>2</w:t>
      </w:r>
      <w:r w:rsidRPr="00860279">
        <w:rPr>
          <w:b/>
          <w:lang w:val="en-US"/>
        </w:rPr>
        <w:t xml:space="preserve"> </w:t>
      </w:r>
      <w:r>
        <w:rPr>
          <w:b/>
          <w:lang w:val="en-US"/>
        </w:rPr>
        <w:t>Proton parameters after 5 mm (upper set of figures) and 50 mm (</w:t>
      </w:r>
      <w:r w:rsidR="001360E5">
        <w:rPr>
          <w:b/>
          <w:lang w:val="en-US"/>
        </w:rPr>
        <w:t xml:space="preserve">central and </w:t>
      </w:r>
      <w:r>
        <w:rPr>
          <w:b/>
          <w:lang w:val="en-US"/>
        </w:rPr>
        <w:t xml:space="preserve">lower set) wall made from stainless steel. In each set: proton kinetic energy (left), proton position on the </w:t>
      </w:r>
      <w:r w:rsidRPr="006D7D46">
        <w:rPr>
          <w:b/>
          <w:i/>
          <w:lang w:val="en-US"/>
        </w:rPr>
        <w:t>x</w:t>
      </w:r>
      <w:r>
        <w:rPr>
          <w:b/>
          <w:lang w:val="en-US"/>
        </w:rPr>
        <w:t xml:space="preserve">-axis (center), polar angle of proton momentum (right). Distributions </w:t>
      </w:r>
      <w:r w:rsidR="00B908D1">
        <w:rPr>
          <w:b/>
          <w:lang w:val="en-US"/>
        </w:rPr>
        <w:t>are produced for all protons (including ones, which are</w:t>
      </w:r>
      <w:r>
        <w:rPr>
          <w:b/>
          <w:lang w:val="en-US"/>
        </w:rPr>
        <w:t xml:space="preserve"> produced in the wall</w:t>
      </w:r>
      <w:r w:rsidR="00B908D1">
        <w:rPr>
          <w:b/>
          <w:lang w:val="en-US"/>
        </w:rPr>
        <w:t>)</w:t>
      </w:r>
      <w:r>
        <w:rPr>
          <w:b/>
          <w:lang w:val="en-US"/>
        </w:rPr>
        <w:t>.</w:t>
      </w:r>
      <w:r w:rsidR="001360E5">
        <w:rPr>
          <w:b/>
          <w:lang w:val="en-US"/>
        </w:rPr>
        <w:t xml:space="preserve"> Central and lower set differ in the number of protons on the wall and maximal GEANT step size, which is 50 mm for central and 10 mm for lower panel.</w:t>
      </w:r>
    </w:p>
    <w:p w:rsidR="00941D6D" w:rsidRDefault="001360E5" w:rsidP="00941D6D">
      <w:pPr>
        <w:jc w:val="both"/>
        <w:rPr>
          <w:lang w:val="en-US"/>
        </w:rPr>
      </w:pPr>
      <w:r>
        <w:rPr>
          <w:lang w:val="en-US"/>
        </w:rPr>
        <w:t xml:space="preserve">Energy distributions for the particles of different type are presented on Fig.2a. The electromagnetic part of the spectrum is dominated by photons (1.67 photons per incoming protons). The hadronic part consists from protons, neutrons, and </w:t>
      </w:r>
      <w:proofErr w:type="spellStart"/>
      <w:r>
        <w:rPr>
          <w:lang w:val="en-US"/>
        </w:rPr>
        <w:t>pions</w:t>
      </w:r>
      <w:proofErr w:type="spellEnd"/>
      <w:r w:rsidR="00CF2257">
        <w:rPr>
          <w:lang w:val="en-US"/>
        </w:rPr>
        <w:t xml:space="preserve"> (both positively and negatively charged ones)</w:t>
      </w:r>
      <w:r>
        <w:rPr>
          <w:lang w:val="en-US"/>
        </w:rPr>
        <w:t xml:space="preserve">. </w:t>
      </w:r>
    </w:p>
    <w:p w:rsidR="00EF2CDB" w:rsidRDefault="000F6406" w:rsidP="00EF2CDB">
      <w:pPr>
        <w:jc w:val="center"/>
        <w:rPr>
          <w:b/>
          <w:lang w:val="en-US"/>
        </w:rPr>
      </w:pPr>
      <w:r>
        <w:rPr>
          <w:b/>
          <w:noProof/>
          <w:lang w:val="en-US"/>
        </w:rPr>
        <w:lastRenderedPageBreak/>
        <w:drawing>
          <wp:inline distT="0" distB="0" distL="0" distR="0">
            <wp:extent cx="2607972" cy="2501911"/>
            <wp:effectExtent l="0" t="0" r="1905" b="0"/>
            <wp:docPr id="12" name="Рисунок 12" descr="C:\Users\Vostro\playground\IN_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playground\IN_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983" cy="2513434"/>
                    </a:xfrm>
                    <a:prstGeom prst="rect">
                      <a:avLst/>
                    </a:prstGeom>
                    <a:noFill/>
                    <a:ln>
                      <a:noFill/>
                    </a:ln>
                  </pic:spPr>
                </pic:pic>
              </a:graphicData>
            </a:graphic>
          </wp:inline>
        </w:drawing>
      </w:r>
      <w:r>
        <w:rPr>
          <w:noProof/>
          <w:lang w:val="en-US"/>
        </w:rPr>
        <w:drawing>
          <wp:inline distT="0" distB="0" distL="0" distR="0">
            <wp:extent cx="2564146" cy="2459865"/>
            <wp:effectExtent l="0" t="0" r="7620" b="0"/>
            <wp:docPr id="13" name="Рисунок 13" descr="C:\Users\Vostro\playground\IN_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stro\playground\IN_H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412" cy="2470673"/>
                    </a:xfrm>
                    <a:prstGeom prst="rect">
                      <a:avLst/>
                    </a:prstGeom>
                    <a:noFill/>
                    <a:ln>
                      <a:noFill/>
                    </a:ln>
                  </pic:spPr>
                </pic:pic>
              </a:graphicData>
            </a:graphic>
          </wp:inline>
        </w:drawing>
      </w:r>
      <w:r w:rsidR="00EF2CDB" w:rsidRPr="00EF2CDB">
        <w:rPr>
          <w:b/>
          <w:lang w:val="en-US"/>
        </w:rPr>
        <w:t xml:space="preserve"> </w:t>
      </w:r>
    </w:p>
    <w:p w:rsidR="00EF2CDB" w:rsidRPr="00860279" w:rsidRDefault="00EF2CDB" w:rsidP="00EF2CDB">
      <w:pPr>
        <w:jc w:val="center"/>
        <w:rPr>
          <w:b/>
          <w:lang w:val="en-US"/>
        </w:rPr>
      </w:pPr>
      <w:r>
        <w:rPr>
          <w:b/>
          <w:lang w:val="en-US"/>
        </w:rPr>
        <w:t>Fig.2a Energy of particles after 50</w:t>
      </w:r>
      <w:r w:rsidR="00270C84">
        <w:rPr>
          <w:b/>
          <w:lang w:val="en-US"/>
        </w:rPr>
        <w:t> </w:t>
      </w:r>
      <w:r>
        <w:rPr>
          <w:b/>
          <w:lang w:val="en-US"/>
        </w:rPr>
        <w:t>mm steel wall and 2</w:t>
      </w:r>
      <w:r w:rsidR="008F2541">
        <w:rPr>
          <w:b/>
          <w:lang w:val="en-US"/>
        </w:rPr>
        <w:t>2</w:t>
      </w:r>
      <w:r w:rsidR="00270C84">
        <w:rPr>
          <w:b/>
          <w:lang w:val="en-US"/>
        </w:rPr>
        <w:t> </w:t>
      </w:r>
      <w:r>
        <w:rPr>
          <w:b/>
          <w:lang w:val="en-US"/>
        </w:rPr>
        <w:t xml:space="preserve">mm gas gap. Left panel: </w:t>
      </w:r>
      <w:r w:rsidR="00CE59FC">
        <w:rPr>
          <w:b/>
          <w:lang w:val="en-US"/>
        </w:rPr>
        <w:t>total energy for lept</w:t>
      </w:r>
      <w:r>
        <w:rPr>
          <w:b/>
          <w:lang w:val="en-US"/>
        </w:rPr>
        <w:t>ons and photons</w:t>
      </w:r>
      <w:r w:rsidR="00CE59FC">
        <w:rPr>
          <w:b/>
          <w:lang w:val="en-US"/>
        </w:rPr>
        <w:t>; right panel</w:t>
      </w:r>
      <w:r w:rsidR="00270C84">
        <w:rPr>
          <w:b/>
          <w:lang w:val="en-US"/>
        </w:rPr>
        <w:t>:</w:t>
      </w:r>
      <w:r w:rsidR="00CE59FC">
        <w:rPr>
          <w:b/>
          <w:lang w:val="en-US"/>
        </w:rPr>
        <w:t xml:space="preserve"> kinetic energy of hadrons</w:t>
      </w:r>
      <w:r>
        <w:rPr>
          <w:b/>
          <w:lang w:val="en-US"/>
        </w:rPr>
        <w:t>.</w:t>
      </w:r>
    </w:p>
    <w:p w:rsidR="00CD1E76" w:rsidRDefault="00CD1E76" w:rsidP="00CD1E76">
      <w:pPr>
        <w:jc w:val="center"/>
        <w:rPr>
          <w:lang w:val="en-US"/>
        </w:rPr>
      </w:pPr>
    </w:p>
    <w:p w:rsidR="004E2F20" w:rsidRDefault="004E2F20" w:rsidP="004E2F20">
      <w:pPr>
        <w:pStyle w:val="1"/>
        <w:rPr>
          <w:lang w:val="en-US"/>
        </w:rPr>
      </w:pPr>
      <w:r>
        <w:rPr>
          <w:lang w:val="en-US"/>
        </w:rPr>
        <w:t>Detector response simulation</w:t>
      </w:r>
    </w:p>
    <w:p w:rsidR="004E2F20" w:rsidRDefault="004E2F20" w:rsidP="00272ACC">
      <w:pPr>
        <w:rPr>
          <w:lang w:val="en-US"/>
        </w:rPr>
      </w:pPr>
      <w:r>
        <w:rPr>
          <w:lang w:val="en-US"/>
        </w:rPr>
        <w:t xml:space="preserve">The charge from ions </w:t>
      </w:r>
      <w:r w:rsidR="008F2541">
        <w:rPr>
          <w:lang w:val="en-US"/>
        </w:rPr>
        <w:t>induced</w:t>
      </w:r>
      <w:r>
        <w:rPr>
          <w:lang w:val="en-US"/>
        </w:rPr>
        <w:t xml:space="preserve"> on cathode</w:t>
      </w:r>
      <w:r w:rsidR="009F2C68">
        <w:rPr>
          <w:lang w:val="en-US"/>
        </w:rPr>
        <w:t>s</w:t>
      </w:r>
      <w:r>
        <w:rPr>
          <w:lang w:val="en-US"/>
        </w:rPr>
        <w:t xml:space="preserve"> </w:t>
      </w:r>
      <w:r w:rsidR="00A07B66">
        <w:rPr>
          <w:lang w:val="en-US"/>
        </w:rPr>
        <w:t xml:space="preserve">is parametrized using single parameter </w:t>
      </w:r>
      <w:proofErr w:type="spellStart"/>
      <w:r w:rsidR="00A07B66">
        <w:rPr>
          <w:lang w:val="en-US"/>
        </w:rPr>
        <w:t>Gatti</w:t>
      </w:r>
      <w:proofErr w:type="spellEnd"/>
      <w:r w:rsidR="00A07B66">
        <w:rPr>
          <w:lang w:val="en-US"/>
        </w:rPr>
        <w:t xml:space="preserve"> formula [</w:t>
      </w:r>
      <w:r w:rsidR="00285017">
        <w:rPr>
          <w:lang w:val="en-US"/>
        </w:rPr>
        <w:t>2</w:t>
      </w:r>
      <w:r w:rsidR="00A07B66">
        <w:rPr>
          <w:lang w:val="en-US"/>
        </w:rPr>
        <w:t>].</w:t>
      </w:r>
    </w:p>
    <w:p w:rsidR="00860279" w:rsidRDefault="00860279" w:rsidP="00860279">
      <w:pPr>
        <w:jc w:val="center"/>
        <w:rPr>
          <w:lang w:val="en-US"/>
        </w:rPr>
      </w:pPr>
      <w:r>
        <w:rPr>
          <w:noProof/>
          <w:lang w:val="en-US"/>
        </w:rPr>
        <w:drawing>
          <wp:inline distT="0" distB="0" distL="0" distR="0">
            <wp:extent cx="1943100" cy="518160"/>
            <wp:effectExtent l="0" t="0" r="0" b="0"/>
            <wp:docPr id="3" name="Рисунок 3" descr="C:\Users\Vostro\YandexDisk\Скриншоты\2018-07-04_09-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stro\YandexDisk\Скриншоты\2018-07-04_09-28-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518160"/>
                    </a:xfrm>
                    <a:prstGeom prst="rect">
                      <a:avLst/>
                    </a:prstGeom>
                    <a:noFill/>
                    <a:ln>
                      <a:noFill/>
                    </a:ln>
                  </pic:spPr>
                </pic:pic>
              </a:graphicData>
            </a:graphic>
          </wp:inline>
        </w:drawing>
      </w:r>
    </w:p>
    <w:p w:rsidR="00860279" w:rsidRDefault="00860279" w:rsidP="00272ACC">
      <w:pPr>
        <w:rPr>
          <w:lang w:val="en-US"/>
        </w:rPr>
      </w:pPr>
      <w:r>
        <w:rPr>
          <w:lang w:val="en-US"/>
        </w:rPr>
        <w:t>The parameters of the formula are presented in [</w:t>
      </w:r>
      <w:r w:rsidR="00285017">
        <w:rPr>
          <w:lang w:val="en-US"/>
        </w:rPr>
        <w:t>2</w:t>
      </w:r>
      <w:r>
        <w:rPr>
          <w:lang w:val="en-US"/>
        </w:rPr>
        <w:t>] and on Fig.</w:t>
      </w:r>
      <w:r w:rsidR="006D7D46">
        <w:rPr>
          <w:lang w:val="en-US"/>
        </w:rPr>
        <w:t>3</w:t>
      </w:r>
      <w:r>
        <w:rPr>
          <w:lang w:val="en-US"/>
        </w:rPr>
        <w:t>.</w:t>
      </w:r>
    </w:p>
    <w:p w:rsidR="00A07B66" w:rsidRDefault="00860279" w:rsidP="00860279">
      <w:pPr>
        <w:jc w:val="center"/>
        <w:rPr>
          <w:lang w:val="en-US"/>
        </w:rPr>
      </w:pPr>
      <w:r>
        <w:rPr>
          <w:noProof/>
          <w:lang w:val="en-US"/>
        </w:rPr>
        <w:drawing>
          <wp:inline distT="0" distB="0" distL="0" distR="0" wp14:anchorId="06650D3C" wp14:editId="6DB96B78">
            <wp:extent cx="1809750" cy="2761225"/>
            <wp:effectExtent l="0" t="0" r="0" b="1270"/>
            <wp:docPr id="2" name="Рисунок 2" descr="C:\Users\Vostro\YandexDisk\Скриншоты\2018-07-04_09-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stro\YandexDisk\Скриншоты\2018-07-04_09-19-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938" cy="2790502"/>
                    </a:xfrm>
                    <a:prstGeom prst="rect">
                      <a:avLst/>
                    </a:prstGeom>
                    <a:noFill/>
                    <a:ln>
                      <a:noFill/>
                    </a:ln>
                  </pic:spPr>
                </pic:pic>
              </a:graphicData>
            </a:graphic>
          </wp:inline>
        </w:drawing>
      </w:r>
      <w:r>
        <w:rPr>
          <w:noProof/>
          <w:lang w:val="en-US"/>
        </w:rPr>
        <w:drawing>
          <wp:inline distT="0" distB="0" distL="0" distR="0">
            <wp:extent cx="3152775" cy="2758046"/>
            <wp:effectExtent l="0" t="0" r="0" b="4445"/>
            <wp:docPr id="1" name="Рисунок 1" descr="C:\Users\Vostro\YandexDisk\Скриншоты\2018-07-04_08-5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YandexDisk\Скриншоты\2018-07-04_08-58-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9972" cy="2773090"/>
                    </a:xfrm>
                    <a:prstGeom prst="rect">
                      <a:avLst/>
                    </a:prstGeom>
                    <a:noFill/>
                    <a:ln>
                      <a:noFill/>
                    </a:ln>
                  </pic:spPr>
                </pic:pic>
              </a:graphicData>
            </a:graphic>
          </wp:inline>
        </w:drawing>
      </w:r>
    </w:p>
    <w:p w:rsidR="00860279" w:rsidRPr="00860279" w:rsidRDefault="00860279" w:rsidP="00860279">
      <w:pPr>
        <w:jc w:val="center"/>
        <w:rPr>
          <w:b/>
          <w:lang w:val="en-US"/>
        </w:rPr>
      </w:pPr>
      <w:r w:rsidRPr="00860279">
        <w:rPr>
          <w:b/>
          <w:lang w:val="en-US"/>
        </w:rPr>
        <w:t>Fig.</w:t>
      </w:r>
      <w:r w:rsidR="006D7D46">
        <w:rPr>
          <w:b/>
          <w:lang w:val="en-US"/>
        </w:rPr>
        <w:t>3</w:t>
      </w:r>
      <w:r w:rsidRPr="00860279">
        <w:rPr>
          <w:b/>
          <w:lang w:val="en-US"/>
        </w:rPr>
        <w:t xml:space="preserve"> Parameters for </w:t>
      </w:r>
      <w:proofErr w:type="spellStart"/>
      <w:r w:rsidRPr="00860279">
        <w:rPr>
          <w:b/>
          <w:lang w:val="en-US"/>
        </w:rPr>
        <w:t>Gatti</w:t>
      </w:r>
      <w:proofErr w:type="spellEnd"/>
      <w:r w:rsidRPr="00860279">
        <w:rPr>
          <w:b/>
          <w:lang w:val="en-US"/>
        </w:rPr>
        <w:t xml:space="preserve"> formula (figure from [</w:t>
      </w:r>
      <w:r w:rsidR="00285017">
        <w:rPr>
          <w:b/>
          <w:lang w:val="en-US"/>
        </w:rPr>
        <w:t>2</w:t>
      </w:r>
      <w:r w:rsidRPr="00860279">
        <w:rPr>
          <w:b/>
          <w:lang w:val="en-US"/>
        </w:rPr>
        <w:t>]).</w:t>
      </w:r>
    </w:p>
    <w:p w:rsidR="00860279" w:rsidRDefault="00860279" w:rsidP="00860279">
      <w:pPr>
        <w:jc w:val="both"/>
        <w:rPr>
          <w:lang w:val="en-US"/>
        </w:rPr>
      </w:pPr>
      <w:r>
        <w:rPr>
          <w:lang w:val="en-US"/>
        </w:rPr>
        <w:t>Extrapolation</w:t>
      </w:r>
      <w:r w:rsidR="009F2C68">
        <w:rPr>
          <w:lang w:val="en-US"/>
        </w:rPr>
        <w:t xml:space="preserve"> of</w:t>
      </w:r>
      <w:r>
        <w:rPr>
          <w:lang w:val="en-US"/>
        </w:rPr>
        <w:t xml:space="preserve"> calculations presented on Fig.</w:t>
      </w:r>
      <w:r w:rsidR="006D7D46">
        <w:rPr>
          <w:lang w:val="en-US"/>
        </w:rPr>
        <w:t>3</w:t>
      </w:r>
      <w:r>
        <w:rPr>
          <w:lang w:val="en-US"/>
        </w:rPr>
        <w:t xml:space="preserve"> for the parameters of the test experiment the default value of </w:t>
      </w:r>
      <w:r w:rsidRPr="00860279">
        <w:rPr>
          <w:i/>
          <w:lang w:val="en-US"/>
        </w:rPr>
        <w:t>K</w:t>
      </w:r>
      <w:r w:rsidRPr="00860279">
        <w:rPr>
          <w:i/>
          <w:vertAlign w:val="subscript"/>
          <w:lang w:val="en-US"/>
        </w:rPr>
        <w:t>3</w:t>
      </w:r>
      <w:r w:rsidRPr="00860279">
        <w:rPr>
          <w:i/>
          <w:lang w:val="en-US"/>
        </w:rPr>
        <w:t> = 0.4</w:t>
      </w:r>
      <w:r w:rsidR="004E10D3">
        <w:rPr>
          <w:i/>
          <w:lang w:val="en-US"/>
        </w:rPr>
        <w:t>5</w:t>
      </w:r>
      <w:r>
        <w:rPr>
          <w:lang w:val="en-US"/>
        </w:rPr>
        <w:t xml:space="preserve"> has been used.</w:t>
      </w:r>
      <w:r w:rsidR="00A518A6">
        <w:rPr>
          <w:lang w:val="en-US"/>
        </w:rPr>
        <w:t xml:space="preserve"> To </w:t>
      </w:r>
      <w:r w:rsidR="00996B33">
        <w:rPr>
          <w:lang w:val="en-US"/>
        </w:rPr>
        <w:t xml:space="preserve">study result dependency on the CSC parameters two alternative value of the </w:t>
      </w:r>
      <w:r w:rsidR="00996B33" w:rsidRPr="00860279">
        <w:rPr>
          <w:i/>
          <w:lang w:val="en-US"/>
        </w:rPr>
        <w:t>K</w:t>
      </w:r>
      <w:r w:rsidR="00996B33" w:rsidRPr="00860279">
        <w:rPr>
          <w:i/>
          <w:vertAlign w:val="subscript"/>
          <w:lang w:val="en-US"/>
        </w:rPr>
        <w:t>3</w:t>
      </w:r>
      <w:r w:rsidR="00996B33" w:rsidRPr="00860279">
        <w:rPr>
          <w:i/>
          <w:lang w:val="en-US"/>
        </w:rPr>
        <w:t> = 0.</w:t>
      </w:r>
      <w:r w:rsidR="00996B33">
        <w:rPr>
          <w:i/>
          <w:lang w:val="en-US"/>
        </w:rPr>
        <w:t>50</w:t>
      </w:r>
      <w:r w:rsidR="00996B33">
        <w:rPr>
          <w:lang w:val="en-US"/>
        </w:rPr>
        <w:t xml:space="preserve"> and </w:t>
      </w:r>
      <w:r w:rsidR="00996B33" w:rsidRPr="00860279">
        <w:rPr>
          <w:i/>
          <w:lang w:val="en-US"/>
        </w:rPr>
        <w:t>K</w:t>
      </w:r>
      <w:r w:rsidR="00996B33" w:rsidRPr="00860279">
        <w:rPr>
          <w:i/>
          <w:vertAlign w:val="subscript"/>
          <w:lang w:val="en-US"/>
        </w:rPr>
        <w:t>3</w:t>
      </w:r>
      <w:r w:rsidR="00996B33" w:rsidRPr="00860279">
        <w:rPr>
          <w:i/>
          <w:lang w:val="en-US"/>
        </w:rPr>
        <w:t> = 0.4</w:t>
      </w:r>
      <w:r w:rsidR="00996B33">
        <w:rPr>
          <w:i/>
          <w:lang w:val="en-US"/>
        </w:rPr>
        <w:t>0</w:t>
      </w:r>
      <w:r w:rsidR="00996B33">
        <w:rPr>
          <w:lang w:val="en-US"/>
        </w:rPr>
        <w:t xml:space="preserve"> were used. As presented on Fig.</w:t>
      </w:r>
      <w:r w:rsidR="006D7D46">
        <w:rPr>
          <w:lang w:val="en-US"/>
        </w:rPr>
        <w:t>4</w:t>
      </w:r>
      <w:r w:rsidR="00996B33">
        <w:rPr>
          <w:lang w:val="en-US"/>
        </w:rPr>
        <w:t xml:space="preserve"> used values provide quite similar shape for the detector response function.</w:t>
      </w:r>
    </w:p>
    <w:p w:rsidR="00996B33" w:rsidRPr="00996B33" w:rsidRDefault="00996B33" w:rsidP="00996B33">
      <w:pPr>
        <w:jc w:val="center"/>
        <w:rPr>
          <w:lang w:val="en-US"/>
        </w:rPr>
      </w:pPr>
      <w:r>
        <w:rPr>
          <w:noProof/>
          <w:lang w:val="en-US"/>
        </w:rPr>
        <w:lastRenderedPageBreak/>
        <w:drawing>
          <wp:inline distT="0" distB="0" distL="0" distR="0">
            <wp:extent cx="2676525" cy="2569106"/>
            <wp:effectExtent l="0" t="0" r="0" b="3175"/>
            <wp:docPr id="4" name="Рисунок 4" descr="C:\Users\Vostro\playground\Ga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stro\playground\Gatt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283" cy="2578472"/>
                    </a:xfrm>
                    <a:prstGeom prst="rect">
                      <a:avLst/>
                    </a:prstGeom>
                    <a:noFill/>
                    <a:ln>
                      <a:noFill/>
                    </a:ln>
                  </pic:spPr>
                </pic:pic>
              </a:graphicData>
            </a:graphic>
          </wp:inline>
        </w:drawing>
      </w:r>
    </w:p>
    <w:p w:rsidR="00996B33" w:rsidRPr="00860279" w:rsidRDefault="00996B33" w:rsidP="00996B33">
      <w:pPr>
        <w:jc w:val="center"/>
        <w:rPr>
          <w:b/>
          <w:lang w:val="en-US"/>
        </w:rPr>
      </w:pPr>
      <w:r w:rsidRPr="00860279">
        <w:rPr>
          <w:b/>
          <w:lang w:val="en-US"/>
        </w:rPr>
        <w:t>Fig.</w:t>
      </w:r>
      <w:r w:rsidR="006D7D46">
        <w:rPr>
          <w:b/>
          <w:lang w:val="en-US"/>
        </w:rPr>
        <w:t>4</w:t>
      </w:r>
      <w:r w:rsidRPr="00860279">
        <w:rPr>
          <w:b/>
          <w:lang w:val="en-US"/>
        </w:rPr>
        <w:t xml:space="preserve"> </w:t>
      </w:r>
      <w:r>
        <w:rPr>
          <w:b/>
          <w:lang w:val="en-US"/>
        </w:rPr>
        <w:t xml:space="preserve">Shape of the cathode distributions obtained with </w:t>
      </w:r>
      <w:proofErr w:type="spellStart"/>
      <w:r>
        <w:rPr>
          <w:b/>
          <w:lang w:val="en-US"/>
        </w:rPr>
        <w:t>Gatti</w:t>
      </w:r>
      <w:proofErr w:type="spellEnd"/>
      <w:r>
        <w:rPr>
          <w:b/>
          <w:lang w:val="en-US"/>
        </w:rPr>
        <w:t xml:space="preserve"> parametrization with </w:t>
      </w:r>
      <w:r w:rsidRPr="00996B33">
        <w:rPr>
          <w:b/>
          <w:i/>
          <w:lang w:val="en-US"/>
        </w:rPr>
        <w:t>K</w:t>
      </w:r>
      <w:r w:rsidRPr="00996B33">
        <w:rPr>
          <w:b/>
          <w:i/>
          <w:vertAlign w:val="subscript"/>
          <w:lang w:val="en-US"/>
        </w:rPr>
        <w:t>3</w:t>
      </w:r>
      <w:r>
        <w:rPr>
          <w:b/>
          <w:lang w:val="en-US"/>
        </w:rPr>
        <w:t xml:space="preserve"> to be equal to 0.4 (red line), 0.45 (black), and 0.5 (blue)</w:t>
      </w:r>
      <w:r w:rsidRPr="00860279">
        <w:rPr>
          <w:b/>
          <w:lang w:val="en-US"/>
        </w:rPr>
        <w:t>.</w:t>
      </w:r>
    </w:p>
    <w:p w:rsidR="00860279" w:rsidRDefault="00996B33" w:rsidP="00860279">
      <w:pPr>
        <w:jc w:val="both"/>
        <w:rPr>
          <w:lang w:val="en-US"/>
        </w:rPr>
      </w:pPr>
      <w:r>
        <w:rPr>
          <w:lang w:val="en-US"/>
        </w:rPr>
        <w:t>Obtained distributions have been used to calculate detector response on event-by-event basis.</w:t>
      </w:r>
      <w:r w:rsidR="008F5D46">
        <w:rPr>
          <w:lang w:val="en-US"/>
        </w:rPr>
        <w:t xml:space="preserve"> Next procedure has been used:</w:t>
      </w:r>
    </w:p>
    <w:p w:rsidR="008F5D46" w:rsidRDefault="008F5D46" w:rsidP="008F5D46">
      <w:pPr>
        <w:pStyle w:val="a9"/>
        <w:numPr>
          <w:ilvl w:val="0"/>
          <w:numId w:val="2"/>
        </w:numPr>
        <w:jc w:val="both"/>
        <w:rPr>
          <w:lang w:val="en-US"/>
        </w:rPr>
      </w:pPr>
      <w:r>
        <w:rPr>
          <w:lang w:val="en-US"/>
        </w:rPr>
        <w:t>Each GEANT-4 step in the sensitive volume of the CSC was divided on the equal sub</w:t>
      </w:r>
      <w:r w:rsidR="00FD05D2">
        <w:rPr>
          <w:lang w:val="en-US"/>
        </w:rPr>
        <w:t>-</w:t>
      </w:r>
      <w:r>
        <w:rPr>
          <w:lang w:val="en-US"/>
        </w:rPr>
        <w:t xml:space="preserve">steps with </w:t>
      </w:r>
      <w:r w:rsidR="00720AA1">
        <w:rPr>
          <w:lang w:val="en-US"/>
        </w:rPr>
        <w:t>30</w:t>
      </w:r>
      <w:r>
        <w:rPr>
          <w:lang w:val="en-US"/>
        </w:rPr>
        <w:t> eV energy deposit for each (one atom ionized).</w:t>
      </w:r>
      <w:r w:rsidR="00314824">
        <w:rPr>
          <w:lang w:val="en-US"/>
        </w:rPr>
        <w:t xml:space="preserve"> </w:t>
      </w:r>
      <w:r w:rsidR="00314824" w:rsidRPr="003D3D36">
        <w:rPr>
          <w:i/>
          <w:lang w:val="en-US"/>
        </w:rPr>
        <w:t>Note that ionization energy for argon is 15.75962, for carbon 11.26030, and for hydrogen 13.59844</w:t>
      </w:r>
      <w:r w:rsidR="00E05051" w:rsidRPr="003D3D36">
        <w:rPr>
          <w:i/>
          <w:lang w:val="en-US"/>
        </w:rPr>
        <w:t xml:space="preserve"> [</w:t>
      </w:r>
      <w:r w:rsidR="00285017" w:rsidRPr="003D3D36">
        <w:rPr>
          <w:i/>
          <w:lang w:val="en-US"/>
        </w:rPr>
        <w:t>3</w:t>
      </w:r>
      <w:r w:rsidR="00E05051" w:rsidRPr="003D3D36">
        <w:rPr>
          <w:i/>
          <w:lang w:val="en-US"/>
        </w:rPr>
        <w:t>]</w:t>
      </w:r>
      <w:r w:rsidR="00720AA1" w:rsidRPr="003D3D36">
        <w:rPr>
          <w:i/>
          <w:lang w:val="en-US"/>
        </w:rPr>
        <w:t xml:space="preserve">, but some energy is used to excite atom without </w:t>
      </w:r>
      <w:r w:rsidR="00285017" w:rsidRPr="003D3D36">
        <w:rPr>
          <w:i/>
          <w:lang w:val="en-US"/>
        </w:rPr>
        <w:t>emitting</w:t>
      </w:r>
      <w:r w:rsidR="00720AA1" w:rsidRPr="003D3D36">
        <w:rPr>
          <w:i/>
          <w:lang w:val="en-US"/>
        </w:rPr>
        <w:t xml:space="preserve"> electrons</w:t>
      </w:r>
      <w:r w:rsidR="00052E87" w:rsidRPr="003D3D36">
        <w:rPr>
          <w:i/>
          <w:lang w:val="en-US"/>
        </w:rPr>
        <w:t xml:space="preserve"> so effectively 30 eV is needed to create electron-ion pair</w:t>
      </w:r>
      <w:r w:rsidR="00314824" w:rsidRPr="003D3D36">
        <w:rPr>
          <w:i/>
          <w:lang w:val="en-US"/>
        </w:rPr>
        <w:t>.</w:t>
      </w:r>
    </w:p>
    <w:p w:rsidR="008F5D46" w:rsidRDefault="008F5D46" w:rsidP="008F5D46">
      <w:pPr>
        <w:pStyle w:val="a9"/>
        <w:numPr>
          <w:ilvl w:val="0"/>
          <w:numId w:val="2"/>
        </w:numPr>
        <w:jc w:val="both"/>
        <w:rPr>
          <w:lang w:val="en-US"/>
        </w:rPr>
      </w:pPr>
      <w:r>
        <w:rPr>
          <w:lang w:val="en-US"/>
        </w:rPr>
        <w:t xml:space="preserve">The unit response was smeared on the </w:t>
      </w:r>
      <w:proofErr w:type="spellStart"/>
      <w:r>
        <w:rPr>
          <w:lang w:val="en-US"/>
        </w:rPr>
        <w:t>Gatti</w:t>
      </w:r>
      <w:proofErr w:type="spellEnd"/>
      <w:r>
        <w:rPr>
          <w:lang w:val="en-US"/>
        </w:rPr>
        <w:t xml:space="preserve"> function (normalized to unity).</w:t>
      </w:r>
    </w:p>
    <w:p w:rsidR="008F5D46" w:rsidRDefault="008F5D46" w:rsidP="008F5D46">
      <w:pPr>
        <w:pStyle w:val="a9"/>
        <w:numPr>
          <w:ilvl w:val="0"/>
          <w:numId w:val="2"/>
        </w:numPr>
        <w:jc w:val="both"/>
        <w:rPr>
          <w:lang w:val="en-US"/>
        </w:rPr>
      </w:pPr>
      <w:r>
        <w:rPr>
          <w:lang w:val="en-US"/>
        </w:rPr>
        <w:t>To obtain cathode signal this response function was split according its position over cathode st</w:t>
      </w:r>
      <w:r w:rsidR="00FD05D2">
        <w:rPr>
          <w:lang w:val="en-US"/>
        </w:rPr>
        <w:t>r</w:t>
      </w:r>
      <w:r>
        <w:rPr>
          <w:lang w:val="en-US"/>
        </w:rPr>
        <w:t>ips and the integrals were summarized.</w:t>
      </w:r>
    </w:p>
    <w:p w:rsidR="008F5D46" w:rsidRDefault="008F5D46" w:rsidP="008F5D46">
      <w:pPr>
        <w:jc w:val="both"/>
        <w:rPr>
          <w:lang w:val="en-US"/>
        </w:rPr>
      </w:pPr>
      <w:r>
        <w:rPr>
          <w:lang w:val="en-US"/>
        </w:rPr>
        <w:t>Thus, for each event the distribution on cathode was obtained. The center of gravity for obtained histogram is taken as an estimator for the particle coordinate.</w:t>
      </w:r>
      <w:r w:rsidR="00C82EE5">
        <w:rPr>
          <w:lang w:val="en-US"/>
        </w:rPr>
        <w:t xml:space="preserve"> As for the test experiment two 24-channels readout modules will be used the sensitive area for the </w:t>
      </w:r>
      <w:r w:rsidR="00C82EE5" w:rsidRPr="00C82EE5">
        <w:rPr>
          <w:i/>
          <w:lang w:val="en-US"/>
        </w:rPr>
        <w:t>x</w:t>
      </w:r>
      <w:r w:rsidR="00C82EE5">
        <w:rPr>
          <w:lang w:val="en-US"/>
        </w:rPr>
        <w:t>-coordinate will be 60 mm.</w:t>
      </w:r>
    </w:p>
    <w:p w:rsidR="00C82EE5" w:rsidRDefault="00C82EE5" w:rsidP="00C82EE5">
      <w:pPr>
        <w:pStyle w:val="1"/>
        <w:rPr>
          <w:lang w:val="en-US"/>
        </w:rPr>
      </w:pPr>
      <w:r>
        <w:rPr>
          <w:lang w:val="en-US"/>
        </w:rPr>
        <w:t>Track</w:t>
      </w:r>
      <w:r w:rsidR="00922BC4">
        <w:rPr>
          <w:lang w:val="en-US"/>
        </w:rPr>
        <w:t xml:space="preserve"> multiplicity and parameters</w:t>
      </w:r>
    </w:p>
    <w:p w:rsidR="00453E10" w:rsidRDefault="00453E10" w:rsidP="00453E10">
      <w:pPr>
        <w:rPr>
          <w:lang w:val="en-US"/>
        </w:rPr>
      </w:pPr>
      <w:r>
        <w:rPr>
          <w:lang w:val="en-US"/>
        </w:rPr>
        <w:t xml:space="preserve">Tracks are identified as gaps in the energy deposit projection onto </w:t>
      </w:r>
      <w:r w:rsidRPr="00453E10">
        <w:rPr>
          <w:i/>
          <w:lang w:val="en-US"/>
        </w:rPr>
        <w:t>x</w:t>
      </w:r>
      <w:r>
        <w:rPr>
          <w:lang w:val="en-US"/>
        </w:rPr>
        <w:t>-axis. The track multiplicities for thin and thick steel wall are presented at Table 1.</w:t>
      </w:r>
    </w:p>
    <w:p w:rsidR="00453E10" w:rsidRPr="00063A5F" w:rsidRDefault="00453E10" w:rsidP="00453E10">
      <w:pPr>
        <w:rPr>
          <w:b/>
          <w:lang w:val="en-US"/>
        </w:rPr>
      </w:pPr>
      <w:r w:rsidRPr="00063A5F">
        <w:rPr>
          <w:b/>
          <w:lang w:val="en-US"/>
        </w:rPr>
        <w:t xml:space="preserve">Table 1: </w:t>
      </w:r>
      <w:r w:rsidR="00071A21">
        <w:rPr>
          <w:b/>
          <w:lang w:val="en-US"/>
        </w:rPr>
        <w:t>Track multiplicity</w:t>
      </w:r>
      <w:r w:rsidR="00A56845">
        <w:rPr>
          <w:b/>
          <w:lang w:val="en-US"/>
        </w:rPr>
        <w:t xml:space="preserve"> for the sensitive volume of CSC.</w:t>
      </w:r>
    </w:p>
    <w:tbl>
      <w:tblPr>
        <w:tblStyle w:val="ac"/>
        <w:tblW w:w="0" w:type="auto"/>
        <w:tblLook w:val="04A0" w:firstRow="1" w:lastRow="0" w:firstColumn="1" w:lastColumn="0" w:noHBand="0" w:noVBand="1"/>
      </w:tblPr>
      <w:tblGrid>
        <w:gridCol w:w="4106"/>
        <w:gridCol w:w="1047"/>
        <w:gridCol w:w="1048"/>
        <w:gridCol w:w="1048"/>
        <w:gridCol w:w="1048"/>
        <w:gridCol w:w="1048"/>
      </w:tblGrid>
      <w:tr w:rsidR="00C82EE5" w:rsidTr="00C82EE5">
        <w:tc>
          <w:tcPr>
            <w:tcW w:w="4106" w:type="dxa"/>
          </w:tcPr>
          <w:p w:rsidR="00C82EE5" w:rsidRDefault="00C82EE5" w:rsidP="008F5D46">
            <w:pPr>
              <w:jc w:val="both"/>
              <w:rPr>
                <w:lang w:val="en-US"/>
              </w:rPr>
            </w:pPr>
            <w:r>
              <w:rPr>
                <w:lang w:val="en-US"/>
              </w:rPr>
              <w:t>Number of tracks</w:t>
            </w:r>
          </w:p>
        </w:tc>
        <w:tc>
          <w:tcPr>
            <w:tcW w:w="1047" w:type="dxa"/>
          </w:tcPr>
          <w:p w:rsidR="00C82EE5" w:rsidRDefault="00C82EE5" w:rsidP="00C82EE5">
            <w:pPr>
              <w:jc w:val="center"/>
              <w:rPr>
                <w:lang w:val="en-US"/>
              </w:rPr>
            </w:pPr>
            <w:r>
              <w:rPr>
                <w:lang w:val="en-US"/>
              </w:rPr>
              <w:t>0</w:t>
            </w:r>
          </w:p>
        </w:tc>
        <w:tc>
          <w:tcPr>
            <w:tcW w:w="1048" w:type="dxa"/>
          </w:tcPr>
          <w:p w:rsidR="00C82EE5" w:rsidRDefault="00C82EE5" w:rsidP="00C82EE5">
            <w:pPr>
              <w:jc w:val="center"/>
              <w:rPr>
                <w:lang w:val="en-US"/>
              </w:rPr>
            </w:pPr>
            <w:r>
              <w:rPr>
                <w:lang w:val="en-US"/>
              </w:rPr>
              <w:t>1</w:t>
            </w:r>
          </w:p>
        </w:tc>
        <w:tc>
          <w:tcPr>
            <w:tcW w:w="1048" w:type="dxa"/>
          </w:tcPr>
          <w:p w:rsidR="00C82EE5" w:rsidRDefault="00C82EE5" w:rsidP="00C82EE5">
            <w:pPr>
              <w:jc w:val="center"/>
              <w:rPr>
                <w:lang w:val="en-US"/>
              </w:rPr>
            </w:pPr>
            <w:r>
              <w:rPr>
                <w:lang w:val="en-US"/>
              </w:rPr>
              <w:t>2</w:t>
            </w:r>
          </w:p>
        </w:tc>
        <w:tc>
          <w:tcPr>
            <w:tcW w:w="1048" w:type="dxa"/>
          </w:tcPr>
          <w:p w:rsidR="00C82EE5" w:rsidRDefault="00C82EE5" w:rsidP="00C82EE5">
            <w:pPr>
              <w:jc w:val="center"/>
              <w:rPr>
                <w:lang w:val="en-US"/>
              </w:rPr>
            </w:pPr>
            <w:r>
              <w:rPr>
                <w:lang w:val="en-US"/>
              </w:rPr>
              <w:t>3</w:t>
            </w:r>
          </w:p>
        </w:tc>
        <w:tc>
          <w:tcPr>
            <w:tcW w:w="1048" w:type="dxa"/>
          </w:tcPr>
          <w:p w:rsidR="00C82EE5" w:rsidRDefault="00C82EE5" w:rsidP="00C82EE5">
            <w:pPr>
              <w:jc w:val="center"/>
              <w:rPr>
                <w:lang w:val="en-US"/>
              </w:rPr>
            </w:pPr>
            <w:r>
              <w:rPr>
                <w:lang w:val="en-US"/>
              </w:rPr>
              <w:t>&gt;3</w:t>
            </w:r>
          </w:p>
        </w:tc>
      </w:tr>
      <w:tr w:rsidR="00C82EE5" w:rsidTr="00C82EE5">
        <w:tc>
          <w:tcPr>
            <w:tcW w:w="4106" w:type="dxa"/>
          </w:tcPr>
          <w:p w:rsidR="00C82EE5" w:rsidRDefault="00C82EE5" w:rsidP="008F5D46">
            <w:pPr>
              <w:jc w:val="both"/>
              <w:rPr>
                <w:lang w:val="en-US"/>
              </w:rPr>
            </w:pPr>
            <w:r>
              <w:rPr>
                <w:lang w:val="en-US"/>
              </w:rPr>
              <w:t>5 mm wall</w:t>
            </w:r>
          </w:p>
        </w:tc>
        <w:tc>
          <w:tcPr>
            <w:tcW w:w="1047" w:type="dxa"/>
          </w:tcPr>
          <w:p w:rsidR="00C82EE5" w:rsidRDefault="00453E10" w:rsidP="00453E10">
            <w:pPr>
              <w:jc w:val="right"/>
              <w:rPr>
                <w:lang w:val="en-US"/>
              </w:rPr>
            </w:pPr>
            <w:r>
              <w:rPr>
                <w:lang w:val="en-US"/>
              </w:rPr>
              <w:t>&lt;0.4%</w:t>
            </w:r>
          </w:p>
        </w:tc>
        <w:tc>
          <w:tcPr>
            <w:tcW w:w="1048" w:type="dxa"/>
          </w:tcPr>
          <w:p w:rsidR="00C82EE5" w:rsidRDefault="00762FF8" w:rsidP="00453E10">
            <w:pPr>
              <w:jc w:val="right"/>
              <w:rPr>
                <w:lang w:val="en-US"/>
              </w:rPr>
            </w:pPr>
            <w:r>
              <w:rPr>
                <w:lang w:val="en-US"/>
              </w:rPr>
              <w:t>95.3%</w:t>
            </w:r>
          </w:p>
        </w:tc>
        <w:tc>
          <w:tcPr>
            <w:tcW w:w="1048" w:type="dxa"/>
          </w:tcPr>
          <w:p w:rsidR="00C82EE5" w:rsidRDefault="00762FF8" w:rsidP="00453E10">
            <w:pPr>
              <w:jc w:val="right"/>
              <w:rPr>
                <w:lang w:val="en-US"/>
              </w:rPr>
            </w:pPr>
            <w:r>
              <w:rPr>
                <w:lang w:val="en-US"/>
              </w:rPr>
              <w:t>3.3%</w:t>
            </w:r>
          </w:p>
        </w:tc>
        <w:tc>
          <w:tcPr>
            <w:tcW w:w="1048" w:type="dxa"/>
          </w:tcPr>
          <w:p w:rsidR="00C82EE5" w:rsidRDefault="00762FF8" w:rsidP="00453E10">
            <w:pPr>
              <w:jc w:val="right"/>
              <w:rPr>
                <w:lang w:val="en-US"/>
              </w:rPr>
            </w:pPr>
            <w:r>
              <w:rPr>
                <w:lang w:val="en-US"/>
              </w:rPr>
              <w:t>1.4%</w:t>
            </w:r>
          </w:p>
        </w:tc>
        <w:tc>
          <w:tcPr>
            <w:tcW w:w="1048" w:type="dxa"/>
          </w:tcPr>
          <w:p w:rsidR="00C82EE5" w:rsidRDefault="00762FF8" w:rsidP="00453E10">
            <w:pPr>
              <w:jc w:val="right"/>
              <w:rPr>
                <w:lang w:val="en-US"/>
              </w:rPr>
            </w:pPr>
            <w:r>
              <w:rPr>
                <w:lang w:val="en-US"/>
              </w:rPr>
              <w:t>&lt;0.1%</w:t>
            </w:r>
          </w:p>
        </w:tc>
      </w:tr>
      <w:tr w:rsidR="00C82EE5" w:rsidTr="00C82EE5">
        <w:tc>
          <w:tcPr>
            <w:tcW w:w="4106" w:type="dxa"/>
          </w:tcPr>
          <w:p w:rsidR="00C82EE5" w:rsidRDefault="00C82EE5" w:rsidP="008F5D46">
            <w:pPr>
              <w:jc w:val="both"/>
              <w:rPr>
                <w:lang w:val="en-US"/>
              </w:rPr>
            </w:pPr>
            <w:r>
              <w:rPr>
                <w:lang w:val="en-US"/>
              </w:rPr>
              <w:t>50 mm wall</w:t>
            </w:r>
          </w:p>
        </w:tc>
        <w:tc>
          <w:tcPr>
            <w:tcW w:w="1047" w:type="dxa"/>
          </w:tcPr>
          <w:p w:rsidR="00C82EE5" w:rsidRDefault="00C82EE5" w:rsidP="00C82EE5">
            <w:pPr>
              <w:jc w:val="right"/>
              <w:rPr>
                <w:lang w:val="en-US"/>
              </w:rPr>
            </w:pPr>
            <w:r>
              <w:rPr>
                <w:lang w:val="en-US"/>
              </w:rPr>
              <w:t>7.2%</w:t>
            </w:r>
          </w:p>
        </w:tc>
        <w:tc>
          <w:tcPr>
            <w:tcW w:w="1048" w:type="dxa"/>
          </w:tcPr>
          <w:p w:rsidR="00C82EE5" w:rsidRDefault="00C82EE5" w:rsidP="00C82EE5">
            <w:pPr>
              <w:jc w:val="right"/>
              <w:rPr>
                <w:lang w:val="en-US"/>
              </w:rPr>
            </w:pPr>
            <w:r>
              <w:rPr>
                <w:lang w:val="en-US"/>
              </w:rPr>
              <w:t>81.5%</w:t>
            </w:r>
          </w:p>
        </w:tc>
        <w:tc>
          <w:tcPr>
            <w:tcW w:w="1048" w:type="dxa"/>
          </w:tcPr>
          <w:p w:rsidR="00C82EE5" w:rsidRDefault="00C82EE5" w:rsidP="00C82EE5">
            <w:pPr>
              <w:jc w:val="right"/>
              <w:rPr>
                <w:lang w:val="en-US"/>
              </w:rPr>
            </w:pPr>
            <w:r>
              <w:rPr>
                <w:lang w:val="en-US"/>
              </w:rPr>
              <w:t>7.1%</w:t>
            </w:r>
          </w:p>
        </w:tc>
        <w:tc>
          <w:tcPr>
            <w:tcW w:w="1048" w:type="dxa"/>
          </w:tcPr>
          <w:p w:rsidR="00C82EE5" w:rsidRDefault="00C82EE5" w:rsidP="00C82EE5">
            <w:pPr>
              <w:jc w:val="right"/>
              <w:rPr>
                <w:lang w:val="en-US"/>
              </w:rPr>
            </w:pPr>
            <w:r>
              <w:rPr>
                <w:lang w:val="en-US"/>
              </w:rPr>
              <w:t>1.0%</w:t>
            </w:r>
          </w:p>
        </w:tc>
        <w:tc>
          <w:tcPr>
            <w:tcW w:w="1048" w:type="dxa"/>
          </w:tcPr>
          <w:p w:rsidR="00C82EE5" w:rsidRDefault="00C82EE5" w:rsidP="00C82EE5">
            <w:pPr>
              <w:jc w:val="right"/>
              <w:rPr>
                <w:lang w:val="en-US"/>
              </w:rPr>
            </w:pPr>
            <w:r>
              <w:rPr>
                <w:lang w:val="en-US"/>
              </w:rPr>
              <w:t>&lt;0.5%</w:t>
            </w:r>
          </w:p>
        </w:tc>
      </w:tr>
    </w:tbl>
    <w:p w:rsidR="00071A21" w:rsidRDefault="00071A21" w:rsidP="00071A21">
      <w:pPr>
        <w:jc w:val="both"/>
        <w:rPr>
          <w:lang w:val="en-US"/>
        </w:rPr>
      </w:pPr>
    </w:p>
    <w:p w:rsidR="00071A21" w:rsidRDefault="00071A21" w:rsidP="00071A21">
      <w:pPr>
        <w:jc w:val="both"/>
        <w:rPr>
          <w:lang w:val="en-US"/>
        </w:rPr>
      </w:pPr>
      <w:r>
        <w:rPr>
          <w:lang w:val="en-US"/>
        </w:rPr>
        <w:t xml:space="preserve">The standard deviation for the output signal distribution can be used to reject events with several tracks. As an example, the standard deviation of signal for two-track events is plotted versus the distance between two tracks at Fig.5. The distance is defined as gap width on </w:t>
      </w:r>
      <w:r w:rsidRPr="00071A21">
        <w:rPr>
          <w:i/>
          <w:lang w:val="en-US"/>
        </w:rPr>
        <w:t>x</w:t>
      </w:r>
      <w:r>
        <w:rPr>
          <w:lang w:val="en-US"/>
        </w:rPr>
        <w:t xml:space="preserve"> axis between GEANT-4 steps with ionization energy deposit.</w:t>
      </w:r>
      <w:r w:rsidR="00205E8C">
        <w:rPr>
          <w:lang w:val="en-US"/>
        </w:rPr>
        <w:t xml:space="preserve"> The calculations are done for 50 mm steel wall in front of chamber.</w:t>
      </w:r>
      <w:r w:rsidR="007C27F6">
        <w:rPr>
          <w:lang w:val="en-US"/>
        </w:rPr>
        <w:t xml:space="preserve"> Clear close-to-linear dependence is observed.</w:t>
      </w:r>
    </w:p>
    <w:p w:rsidR="007C27F6" w:rsidRDefault="00B06DF1" w:rsidP="00071A21">
      <w:pPr>
        <w:jc w:val="both"/>
        <w:rPr>
          <w:lang w:val="en-US"/>
        </w:rPr>
      </w:pPr>
      <w:r>
        <w:rPr>
          <w:lang w:val="en-US"/>
        </w:rPr>
        <w:t xml:space="preserve">The standard deviation distribution for one track events obtained with the same conditions are </w:t>
      </w:r>
      <w:r w:rsidR="00404A94">
        <w:rPr>
          <w:lang w:val="en-US"/>
        </w:rPr>
        <w:t>calculated to be of 2.4 mm, which mainly corresponds to the standard deviation of the distributions plotted on Fig.4.</w:t>
      </w:r>
    </w:p>
    <w:p w:rsidR="00261859" w:rsidRDefault="00983BD6" w:rsidP="00261859">
      <w:pPr>
        <w:jc w:val="center"/>
        <w:rPr>
          <w:b/>
          <w:lang w:val="en-US"/>
        </w:rPr>
      </w:pPr>
      <w:r>
        <w:rPr>
          <w:noProof/>
          <w:lang w:val="en-US"/>
        </w:rPr>
        <w:lastRenderedPageBreak/>
        <w:drawing>
          <wp:inline distT="0" distB="0" distL="0" distR="0" wp14:anchorId="6EF2F970" wp14:editId="7A582576">
            <wp:extent cx="2369484" cy="2273121"/>
            <wp:effectExtent l="0" t="0" r="0" b="0"/>
            <wp:docPr id="8" name="Рисунок 8" descr="C:\Users\Vostro\playground\ca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playground\canv.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9269" cy="2282508"/>
                    </a:xfrm>
                    <a:prstGeom prst="rect">
                      <a:avLst/>
                    </a:prstGeom>
                    <a:noFill/>
                    <a:ln>
                      <a:noFill/>
                    </a:ln>
                  </pic:spPr>
                </pic:pic>
              </a:graphicData>
            </a:graphic>
          </wp:inline>
        </w:drawing>
      </w:r>
      <w:r w:rsidR="00261859" w:rsidRPr="00261859">
        <w:rPr>
          <w:b/>
          <w:lang w:val="en-US"/>
        </w:rPr>
        <w:t xml:space="preserve"> </w:t>
      </w:r>
    </w:p>
    <w:p w:rsidR="00261859" w:rsidRPr="00884A6B" w:rsidRDefault="00261859" w:rsidP="00261859">
      <w:pPr>
        <w:jc w:val="center"/>
        <w:rPr>
          <w:b/>
          <w:lang w:val="en-US"/>
        </w:rPr>
      </w:pPr>
      <w:r w:rsidRPr="00860279">
        <w:rPr>
          <w:b/>
          <w:lang w:val="en-US"/>
        </w:rPr>
        <w:t>Fig.</w:t>
      </w:r>
      <w:r>
        <w:rPr>
          <w:b/>
          <w:lang w:val="en-US"/>
        </w:rPr>
        <w:t>5</w:t>
      </w:r>
      <w:r w:rsidRPr="00860279">
        <w:rPr>
          <w:b/>
          <w:lang w:val="en-US"/>
        </w:rPr>
        <w:t xml:space="preserve"> </w:t>
      </w:r>
      <w:r w:rsidR="00404A94">
        <w:rPr>
          <w:b/>
          <w:lang w:val="en-US"/>
        </w:rPr>
        <w:t>S</w:t>
      </w:r>
      <w:r>
        <w:rPr>
          <w:b/>
          <w:lang w:val="en-US"/>
        </w:rPr>
        <w:t>tandard deviation</w:t>
      </w:r>
      <w:r w:rsidR="00884A6B">
        <w:rPr>
          <w:b/>
          <w:lang w:val="en-US"/>
        </w:rPr>
        <w:t xml:space="preserve"> (</w:t>
      </w:r>
      <w:r w:rsidR="00884A6B" w:rsidRPr="00884A6B">
        <w:rPr>
          <w:b/>
          <w:i/>
          <w:lang w:val="en-US"/>
        </w:rPr>
        <w:t>σ</w:t>
      </w:r>
      <w:r w:rsidR="00884A6B">
        <w:rPr>
          <w:b/>
          <w:lang w:val="en-US"/>
        </w:rPr>
        <w:t>)</w:t>
      </w:r>
      <w:r>
        <w:rPr>
          <w:b/>
          <w:lang w:val="en-US"/>
        </w:rPr>
        <w:t xml:space="preserve"> of t</w:t>
      </w:r>
      <w:r w:rsidR="00884A6B">
        <w:rPr>
          <w:b/>
          <w:lang w:val="en-US"/>
        </w:rPr>
        <w:t xml:space="preserve">he signal for two-track </w:t>
      </w:r>
      <w:r w:rsidR="00884A6B" w:rsidRPr="00884A6B">
        <w:rPr>
          <w:b/>
          <w:lang w:val="en-US"/>
        </w:rPr>
        <w:t xml:space="preserve">events </w:t>
      </w:r>
      <w:r w:rsidR="00884A6B" w:rsidRPr="00884A6B">
        <w:rPr>
          <w:rFonts w:cs="Times New Roman"/>
          <w:b/>
          <w:lang w:val="en-US"/>
        </w:rPr>
        <w:t xml:space="preserve">vs. </w:t>
      </w:r>
      <w:proofErr w:type="spellStart"/>
      <w:r w:rsidR="00884A6B" w:rsidRPr="00884A6B">
        <w:rPr>
          <w:rFonts w:cs="Times New Roman"/>
          <w:b/>
          <w:i/>
          <w:lang w:val="en-US"/>
        </w:rPr>
        <w:t>Δx</w:t>
      </w:r>
      <w:proofErr w:type="spellEnd"/>
      <w:r w:rsidR="00884A6B">
        <w:rPr>
          <w:rFonts w:cs="Times New Roman"/>
          <w:b/>
          <w:lang w:val="en-US"/>
        </w:rPr>
        <w:t xml:space="preserve"> gap between tracks</w:t>
      </w:r>
      <w:r w:rsidRPr="00884A6B">
        <w:rPr>
          <w:rFonts w:cs="Times New Roman"/>
          <w:b/>
          <w:lang w:val="en-US"/>
        </w:rPr>
        <w:t>.</w:t>
      </w:r>
      <w:r w:rsidR="00884A6B">
        <w:rPr>
          <w:rFonts w:cs="Times New Roman"/>
          <w:b/>
          <w:lang w:val="en-US"/>
        </w:rPr>
        <w:t xml:space="preserve"> </w:t>
      </w:r>
    </w:p>
    <w:p w:rsidR="00C82EE5" w:rsidRPr="00C82EE5" w:rsidRDefault="00C82EE5" w:rsidP="00983BD6">
      <w:pPr>
        <w:jc w:val="center"/>
        <w:rPr>
          <w:lang w:val="en-US"/>
        </w:rPr>
      </w:pPr>
    </w:p>
    <w:p w:rsidR="004E2F20" w:rsidRDefault="00EF6EF2" w:rsidP="004E2F20">
      <w:pPr>
        <w:pStyle w:val="1"/>
        <w:rPr>
          <w:lang w:val="en-US"/>
        </w:rPr>
      </w:pPr>
      <w:r>
        <w:rPr>
          <w:lang w:val="en-US"/>
        </w:rPr>
        <w:t>Resolution of CSC</w:t>
      </w:r>
    </w:p>
    <w:p w:rsidR="00063A5F" w:rsidRDefault="00BE5DF3" w:rsidP="00063A5F">
      <w:pPr>
        <w:rPr>
          <w:lang w:val="en-US"/>
        </w:rPr>
      </w:pPr>
      <w:r>
        <w:rPr>
          <w:lang w:val="en-US"/>
        </w:rPr>
        <w:t xml:space="preserve">For the presented model the spatial resolution depends mainly on the signal processing. The lower limit is defined by the shape of cathode distribution.  Thought the steel wall placed in front of the CSC affect ideal resolution (signal width becomes wider due to scattering) the effect is one order of magnitude less than the influence of the </w:t>
      </w:r>
      <w:r w:rsidR="00826DFF">
        <w:rPr>
          <w:lang w:val="en-US"/>
        </w:rPr>
        <w:t>detector response function.</w:t>
      </w:r>
    </w:p>
    <w:p w:rsidR="00063A5F" w:rsidRPr="00063A5F" w:rsidRDefault="00063A5F" w:rsidP="00063A5F">
      <w:pPr>
        <w:rPr>
          <w:b/>
          <w:lang w:val="en-US"/>
        </w:rPr>
      </w:pPr>
      <w:r w:rsidRPr="00063A5F">
        <w:rPr>
          <w:b/>
          <w:lang w:val="en-US"/>
        </w:rPr>
        <w:t xml:space="preserve">Table </w:t>
      </w:r>
      <w:r w:rsidR="00453E10">
        <w:rPr>
          <w:b/>
          <w:lang w:val="en-US"/>
        </w:rPr>
        <w:t>2</w:t>
      </w:r>
      <w:r w:rsidRPr="00063A5F">
        <w:rPr>
          <w:b/>
          <w:lang w:val="en-US"/>
        </w:rPr>
        <w:t xml:space="preserve">: Obtained resolution in </w:t>
      </w:r>
      <w:r w:rsidRPr="00063A5F">
        <w:rPr>
          <w:b/>
        </w:rPr>
        <w:t>μ</w:t>
      </w:r>
      <w:r w:rsidRPr="00063A5F">
        <w:rPr>
          <w:b/>
          <w:lang w:val="en-US"/>
        </w:rPr>
        <w:t>m.</w:t>
      </w:r>
    </w:p>
    <w:tbl>
      <w:tblPr>
        <w:tblStyle w:val="ac"/>
        <w:tblW w:w="0" w:type="auto"/>
        <w:tblLook w:val="04A0" w:firstRow="1" w:lastRow="0" w:firstColumn="1" w:lastColumn="0" w:noHBand="0" w:noVBand="1"/>
      </w:tblPr>
      <w:tblGrid>
        <w:gridCol w:w="5098"/>
        <w:gridCol w:w="1415"/>
        <w:gridCol w:w="1416"/>
        <w:gridCol w:w="1416"/>
      </w:tblGrid>
      <w:tr w:rsidR="00066CBF" w:rsidTr="0099099B">
        <w:trPr>
          <w:trHeight w:val="401"/>
        </w:trPr>
        <w:tc>
          <w:tcPr>
            <w:tcW w:w="5098" w:type="dxa"/>
          </w:tcPr>
          <w:p w:rsidR="00066CBF" w:rsidRDefault="00066CBF" w:rsidP="00272ACC">
            <w:pPr>
              <w:rPr>
                <w:lang w:val="en-US"/>
              </w:rPr>
            </w:pPr>
          </w:p>
        </w:tc>
        <w:tc>
          <w:tcPr>
            <w:tcW w:w="1415" w:type="dxa"/>
          </w:tcPr>
          <w:p w:rsidR="00066CBF" w:rsidRDefault="00066CBF" w:rsidP="00066CBF">
            <w:pPr>
              <w:jc w:val="center"/>
              <w:rPr>
                <w:lang w:val="en-US"/>
              </w:rPr>
            </w:pPr>
            <w:r>
              <w:rPr>
                <w:lang w:val="en-US"/>
              </w:rPr>
              <w:t>No wall</w:t>
            </w:r>
          </w:p>
        </w:tc>
        <w:tc>
          <w:tcPr>
            <w:tcW w:w="1416" w:type="dxa"/>
          </w:tcPr>
          <w:p w:rsidR="00066CBF" w:rsidRDefault="00066CBF" w:rsidP="00066CBF">
            <w:pPr>
              <w:jc w:val="center"/>
              <w:rPr>
                <w:lang w:val="en-US"/>
              </w:rPr>
            </w:pPr>
            <w:r>
              <w:rPr>
                <w:lang w:val="en-US"/>
              </w:rPr>
              <w:t>5 mm wall</w:t>
            </w:r>
          </w:p>
        </w:tc>
        <w:tc>
          <w:tcPr>
            <w:tcW w:w="1416" w:type="dxa"/>
          </w:tcPr>
          <w:p w:rsidR="00066CBF" w:rsidRDefault="00066CBF" w:rsidP="00066CBF">
            <w:pPr>
              <w:jc w:val="center"/>
              <w:rPr>
                <w:lang w:val="en-US"/>
              </w:rPr>
            </w:pPr>
            <w:r>
              <w:rPr>
                <w:lang w:val="en-US"/>
              </w:rPr>
              <w:t>50 mm wall</w:t>
            </w:r>
          </w:p>
        </w:tc>
      </w:tr>
      <w:tr w:rsidR="00066CBF" w:rsidTr="0099099B">
        <w:tc>
          <w:tcPr>
            <w:tcW w:w="5098" w:type="dxa"/>
          </w:tcPr>
          <w:p w:rsidR="00066CBF" w:rsidRDefault="00BF5764" w:rsidP="00272ACC">
            <w:pPr>
              <w:rPr>
                <w:lang w:val="en-US"/>
              </w:rPr>
            </w:pPr>
            <w:r>
              <w:rPr>
                <w:lang w:val="en-US"/>
              </w:rPr>
              <w:t>Average i</w:t>
            </w:r>
            <w:r w:rsidR="008811D9">
              <w:rPr>
                <w:lang w:val="en-US"/>
              </w:rPr>
              <w:t>deal</w:t>
            </w:r>
            <w:r w:rsidR="00066CBF">
              <w:rPr>
                <w:lang w:val="en-US"/>
              </w:rPr>
              <w:t xml:space="preserve"> resolution</w:t>
            </w:r>
            <w:r>
              <w:rPr>
                <w:lang w:val="en-US"/>
              </w:rPr>
              <w:t xml:space="preserve"> (mean uncertainty)</w:t>
            </w:r>
          </w:p>
        </w:tc>
        <w:tc>
          <w:tcPr>
            <w:tcW w:w="1415" w:type="dxa"/>
          </w:tcPr>
          <w:p w:rsidR="00066CBF" w:rsidRDefault="003C107B" w:rsidP="00063A5F">
            <w:pPr>
              <w:jc w:val="right"/>
              <w:rPr>
                <w:lang w:val="en-US"/>
              </w:rPr>
            </w:pPr>
            <w:r>
              <w:rPr>
                <w:lang w:val="en-US"/>
              </w:rPr>
              <w:t>0.</w:t>
            </w:r>
            <w:r w:rsidR="004D3087">
              <w:rPr>
                <w:lang w:val="en-US"/>
              </w:rPr>
              <w:t>25</w:t>
            </w:r>
          </w:p>
        </w:tc>
        <w:tc>
          <w:tcPr>
            <w:tcW w:w="1416" w:type="dxa"/>
          </w:tcPr>
          <w:p w:rsidR="00066CBF" w:rsidRDefault="00FC67D6" w:rsidP="00063A5F">
            <w:pPr>
              <w:jc w:val="right"/>
              <w:rPr>
                <w:lang w:val="en-US"/>
              </w:rPr>
            </w:pPr>
            <w:r>
              <w:rPr>
                <w:lang w:val="en-US"/>
              </w:rPr>
              <w:t>0.</w:t>
            </w:r>
            <w:r w:rsidR="0001150D">
              <w:rPr>
                <w:lang w:val="en-US"/>
              </w:rPr>
              <w:t>4</w:t>
            </w:r>
            <w:r>
              <w:rPr>
                <w:lang w:val="en-US"/>
              </w:rPr>
              <w:t>3</w:t>
            </w:r>
          </w:p>
        </w:tc>
        <w:tc>
          <w:tcPr>
            <w:tcW w:w="1416" w:type="dxa"/>
          </w:tcPr>
          <w:p w:rsidR="00066CBF" w:rsidRDefault="00FC67D6" w:rsidP="00063A5F">
            <w:pPr>
              <w:jc w:val="right"/>
              <w:rPr>
                <w:lang w:val="en-US"/>
              </w:rPr>
            </w:pPr>
            <w:r>
              <w:rPr>
                <w:lang w:val="en-US"/>
              </w:rPr>
              <w:t>1.7</w:t>
            </w:r>
            <w:r w:rsidR="00273FCF">
              <w:rPr>
                <w:lang w:val="en-US"/>
              </w:rPr>
              <w:t>7</w:t>
            </w:r>
          </w:p>
        </w:tc>
      </w:tr>
      <w:tr w:rsidR="00066CBF" w:rsidTr="0099099B">
        <w:tc>
          <w:tcPr>
            <w:tcW w:w="5098" w:type="dxa"/>
          </w:tcPr>
          <w:p w:rsidR="00066CBF" w:rsidRDefault="00BF5764" w:rsidP="00272ACC">
            <w:pPr>
              <w:rPr>
                <w:lang w:val="en-US"/>
              </w:rPr>
            </w:pPr>
            <w:r>
              <w:rPr>
                <w:lang w:val="en-US"/>
              </w:rPr>
              <w:t>Average s</w:t>
            </w:r>
            <w:r w:rsidR="00066CBF">
              <w:rPr>
                <w:lang w:val="en-US"/>
              </w:rPr>
              <w:t>ingle plane</w:t>
            </w:r>
            <w:r>
              <w:rPr>
                <w:lang w:val="en-US"/>
              </w:rPr>
              <w:t xml:space="preserve"> (mean uncertainty)</w:t>
            </w:r>
          </w:p>
        </w:tc>
        <w:tc>
          <w:tcPr>
            <w:tcW w:w="1415" w:type="dxa"/>
          </w:tcPr>
          <w:p w:rsidR="00066CBF" w:rsidRDefault="003C107B" w:rsidP="00063A5F">
            <w:pPr>
              <w:jc w:val="right"/>
              <w:rPr>
                <w:lang w:val="en-US"/>
              </w:rPr>
            </w:pPr>
            <w:r>
              <w:rPr>
                <w:lang w:val="en-US"/>
              </w:rPr>
              <w:t>17.0</w:t>
            </w:r>
          </w:p>
        </w:tc>
        <w:tc>
          <w:tcPr>
            <w:tcW w:w="1416" w:type="dxa"/>
          </w:tcPr>
          <w:p w:rsidR="00066CBF" w:rsidRDefault="00FC67D6" w:rsidP="00063A5F">
            <w:pPr>
              <w:jc w:val="right"/>
              <w:rPr>
                <w:lang w:val="en-US"/>
              </w:rPr>
            </w:pPr>
            <w:r>
              <w:rPr>
                <w:lang w:val="en-US"/>
              </w:rPr>
              <w:t>1</w:t>
            </w:r>
            <w:r w:rsidR="003C107B">
              <w:rPr>
                <w:lang w:val="en-US"/>
              </w:rPr>
              <w:t>7</w:t>
            </w:r>
            <w:r>
              <w:rPr>
                <w:lang w:val="en-US"/>
              </w:rPr>
              <w:t>.0</w:t>
            </w:r>
          </w:p>
        </w:tc>
        <w:tc>
          <w:tcPr>
            <w:tcW w:w="1416" w:type="dxa"/>
          </w:tcPr>
          <w:p w:rsidR="00066CBF" w:rsidRDefault="004C18A2" w:rsidP="00063A5F">
            <w:pPr>
              <w:jc w:val="right"/>
              <w:rPr>
                <w:lang w:val="en-US"/>
              </w:rPr>
            </w:pPr>
            <w:r>
              <w:rPr>
                <w:lang w:val="en-US"/>
              </w:rPr>
              <w:t>1</w:t>
            </w:r>
            <w:r w:rsidR="003C107B">
              <w:rPr>
                <w:lang w:val="en-US"/>
              </w:rPr>
              <w:t>7</w:t>
            </w:r>
            <w:r w:rsidR="00FC67D6">
              <w:rPr>
                <w:lang w:val="en-US"/>
              </w:rPr>
              <w:t>.0</w:t>
            </w:r>
          </w:p>
        </w:tc>
      </w:tr>
    </w:tbl>
    <w:p w:rsidR="00285364" w:rsidRDefault="00285364" w:rsidP="00272ACC">
      <w:pPr>
        <w:rPr>
          <w:lang w:val="en-US"/>
        </w:rPr>
      </w:pPr>
    </w:p>
    <w:p w:rsidR="00EF6EF2" w:rsidRPr="00C82EE5" w:rsidRDefault="00BE5DF3" w:rsidP="00EF6EF2">
      <w:pPr>
        <w:jc w:val="both"/>
        <w:rPr>
          <w:lang w:val="en-US"/>
        </w:rPr>
      </w:pPr>
      <w:r>
        <w:rPr>
          <w:lang w:val="en-US"/>
        </w:rPr>
        <w:t>The lower limit for the</w:t>
      </w:r>
      <w:r w:rsidR="004E2F20">
        <w:rPr>
          <w:lang w:val="en-US"/>
        </w:rPr>
        <w:t xml:space="preserve"> spatial resolution of </w:t>
      </w:r>
      <w:r>
        <w:rPr>
          <w:lang w:val="en-US"/>
        </w:rPr>
        <w:t>0.</w:t>
      </w:r>
      <w:r w:rsidR="00151490">
        <w:rPr>
          <w:lang w:val="en-US"/>
        </w:rPr>
        <w:t>0</w:t>
      </w:r>
      <w:r>
        <w:rPr>
          <w:lang w:val="en-US"/>
        </w:rPr>
        <w:t>17</w:t>
      </w:r>
      <w:r w:rsidR="004E2F20">
        <w:rPr>
          <w:lang w:val="en-US"/>
        </w:rPr>
        <w:t> mm is predicted</w:t>
      </w:r>
      <w:r w:rsidR="00BF6C7A">
        <w:rPr>
          <w:lang w:val="en-US"/>
        </w:rPr>
        <w:t xml:space="preserve"> to be measured in the test experiment</w:t>
      </w:r>
      <w:r>
        <w:rPr>
          <w:lang w:val="en-US"/>
        </w:rPr>
        <w:t xml:space="preserve"> for one track evens</w:t>
      </w:r>
      <w:r w:rsidR="004E2F20">
        <w:rPr>
          <w:lang w:val="en-US"/>
        </w:rPr>
        <w:t>.</w:t>
      </w:r>
      <w:r w:rsidR="00BF6C7A">
        <w:rPr>
          <w:lang w:val="en-US"/>
        </w:rPr>
        <w:t xml:space="preserve"> Note that some assumptions (such as ideal electronics) were made </w:t>
      </w:r>
      <w:r w:rsidR="00666D48">
        <w:rPr>
          <w:lang w:val="en-US"/>
        </w:rPr>
        <w:t>to</w:t>
      </w:r>
      <w:r w:rsidR="00BF6C7A">
        <w:rPr>
          <w:lang w:val="en-US"/>
        </w:rPr>
        <w:t xml:space="preserve"> achieve the results.</w:t>
      </w:r>
      <w:r w:rsidR="00826DFF">
        <w:rPr>
          <w:lang w:val="en-US"/>
        </w:rPr>
        <w:t xml:space="preserve"> Standard deviation of the detector response can be used to suppress signal from events with several particles produced in the wall.</w:t>
      </w:r>
    </w:p>
    <w:p w:rsidR="00EF6EF2" w:rsidRDefault="00EF6EF2" w:rsidP="00EF6EF2">
      <w:pPr>
        <w:pStyle w:val="1"/>
        <w:rPr>
          <w:lang w:val="en-US"/>
        </w:rPr>
      </w:pPr>
      <w:r>
        <w:rPr>
          <w:lang w:val="en-US"/>
        </w:rPr>
        <w:t>Scintillator counters</w:t>
      </w:r>
    </w:p>
    <w:p w:rsidR="00EF6EF2" w:rsidRDefault="00EF6EF2" w:rsidP="00EF6EF2">
      <w:pPr>
        <w:jc w:val="both"/>
        <w:rPr>
          <w:lang w:val="en-US"/>
        </w:rPr>
      </w:pPr>
      <w:r>
        <w:rPr>
          <w:lang w:val="en-US"/>
        </w:rPr>
        <w:t>To have some background rejection the test stand can be equipped with two (</w:t>
      </w:r>
      <w:r>
        <w:rPr>
          <w:lang w:val="en-US"/>
        </w:rPr>
        <w:t>3</w:t>
      </w:r>
      <w:r w:rsidRPr="00EF6EF2">
        <w:rPr>
          <w:lang w:val="en-US"/>
        </w:rPr>
        <w:t>×</w:t>
      </w:r>
      <w:r>
        <w:rPr>
          <w:lang w:val="en-US"/>
        </w:rPr>
        <w:t>3</w:t>
      </w:r>
      <w:r>
        <w:rPr>
          <w:lang w:val="en-US"/>
        </w:rPr>
        <w:t> </w:t>
      </w:r>
      <w:r>
        <w:rPr>
          <w:lang w:val="en-US"/>
        </w:rPr>
        <w:t>cm</w:t>
      </w:r>
      <w:r w:rsidRPr="00EF6EF2">
        <w:rPr>
          <w:vertAlign w:val="superscript"/>
          <w:lang w:val="en-US"/>
        </w:rPr>
        <w:t>2</w:t>
      </w:r>
      <w:r>
        <w:rPr>
          <w:lang w:val="en-US"/>
        </w:rPr>
        <w:t xml:space="preserve"> each) scintillation counters.</w:t>
      </w:r>
      <w:r w:rsidR="002D4AE6">
        <w:rPr>
          <w:lang w:val="en-US"/>
        </w:rPr>
        <w:t xml:space="preserve"> The Monte-Carlo simulations were performed to obtain coincidence rate between these counters and rate in sensitive volume of CSC. In these simulation 5 mm thick of the </w:t>
      </w:r>
      <w:proofErr w:type="spellStart"/>
      <w:r w:rsidR="002D4AE6">
        <w:rPr>
          <w:lang w:val="en-US"/>
        </w:rPr>
        <w:t>plasic</w:t>
      </w:r>
      <w:proofErr w:type="spellEnd"/>
      <w:r w:rsidR="002D4AE6">
        <w:rPr>
          <w:lang w:val="en-US"/>
        </w:rPr>
        <w:t xml:space="preserve"> </w:t>
      </w:r>
      <w:r w:rsidR="0089069A">
        <w:rPr>
          <w:lang w:val="en-US"/>
        </w:rPr>
        <w:t>scintillators (C</w:t>
      </w:r>
      <w:r w:rsidR="0089069A" w:rsidRPr="0089069A">
        <w:rPr>
          <w:vertAlign w:val="subscript"/>
          <w:lang w:val="en-US"/>
        </w:rPr>
        <w:t>9</w:t>
      </w:r>
      <w:r w:rsidR="0089069A">
        <w:rPr>
          <w:lang w:val="en-US"/>
        </w:rPr>
        <w:t>H</w:t>
      </w:r>
      <w:r w:rsidR="0089069A" w:rsidRPr="0089069A">
        <w:rPr>
          <w:vertAlign w:val="subscript"/>
          <w:lang w:val="en-US"/>
        </w:rPr>
        <w:t>10</w:t>
      </w:r>
      <w:r w:rsidR="0089069A">
        <w:rPr>
          <w:lang w:val="en-US"/>
        </w:rPr>
        <w:t>, density of 1.032 g/cm</w:t>
      </w:r>
      <w:r w:rsidR="0089069A" w:rsidRPr="0089069A">
        <w:rPr>
          <w:vertAlign w:val="superscript"/>
          <w:lang w:val="en-US"/>
        </w:rPr>
        <w:t>3</w:t>
      </w:r>
      <w:r w:rsidR="0089069A">
        <w:rPr>
          <w:lang w:val="en-US"/>
        </w:rPr>
        <w:t>) were placed 30 mm in front and 30 mm behind test chamber. Next results were obtained:</w:t>
      </w:r>
    </w:p>
    <w:p w:rsidR="0089069A" w:rsidRDefault="0089069A" w:rsidP="0089069A">
      <w:pPr>
        <w:pStyle w:val="a9"/>
        <w:numPr>
          <w:ilvl w:val="0"/>
          <w:numId w:val="3"/>
        </w:numPr>
        <w:jc w:val="both"/>
        <w:rPr>
          <w:lang w:val="en-US"/>
        </w:rPr>
      </w:pPr>
      <w:r>
        <w:rPr>
          <w:lang w:val="en-US"/>
        </w:rPr>
        <w:t xml:space="preserve">The probability for initial proton (fixed by the track id) to hit both scintillators as well as sensitive area of CSC is </w:t>
      </w:r>
      <w:r w:rsidRPr="0089069A">
        <w:rPr>
          <w:b/>
          <w:lang w:val="en-US"/>
        </w:rPr>
        <w:t>50%</w:t>
      </w:r>
      <w:r>
        <w:rPr>
          <w:lang w:val="en-US"/>
        </w:rPr>
        <w:t>.</w:t>
      </w:r>
    </w:p>
    <w:p w:rsidR="0089069A" w:rsidRDefault="0089069A" w:rsidP="0089069A">
      <w:pPr>
        <w:pStyle w:val="a9"/>
        <w:numPr>
          <w:ilvl w:val="0"/>
          <w:numId w:val="3"/>
        </w:numPr>
        <w:jc w:val="both"/>
        <w:rPr>
          <w:lang w:val="en-US"/>
        </w:rPr>
      </w:pPr>
      <w:r>
        <w:rPr>
          <w:lang w:val="en-US"/>
        </w:rPr>
        <w:t xml:space="preserve">The probability of any triple coincidence (any steps with energy deposit are required) is </w:t>
      </w:r>
      <w:r w:rsidRPr="0089069A">
        <w:rPr>
          <w:b/>
          <w:lang w:val="en-US"/>
        </w:rPr>
        <w:t>66%</w:t>
      </w:r>
      <w:r>
        <w:rPr>
          <w:lang w:val="en-US"/>
        </w:rPr>
        <w:t>.</w:t>
      </w:r>
    </w:p>
    <w:p w:rsidR="00611DF4" w:rsidRDefault="0089069A" w:rsidP="00611DF4">
      <w:pPr>
        <w:pStyle w:val="a9"/>
        <w:numPr>
          <w:ilvl w:val="0"/>
          <w:numId w:val="3"/>
        </w:numPr>
        <w:jc w:val="both"/>
        <w:rPr>
          <w:lang w:val="en-US"/>
        </w:rPr>
      </w:pPr>
      <w:r>
        <w:rPr>
          <w:lang w:val="en-US"/>
        </w:rPr>
        <w:t xml:space="preserve">The probability to have both scintillators fired, but no ionization energy deposit in the sensitive volume of CSC was calculated to be </w:t>
      </w:r>
      <w:r w:rsidRPr="0089069A">
        <w:rPr>
          <w:b/>
          <w:lang w:val="en-US"/>
        </w:rPr>
        <w:t>0.5%</w:t>
      </w:r>
      <w:r>
        <w:rPr>
          <w:lang w:val="en-US"/>
        </w:rPr>
        <w:t>.</w:t>
      </w:r>
    </w:p>
    <w:p w:rsidR="00611DF4" w:rsidRDefault="00611DF4" w:rsidP="00611DF4">
      <w:pPr>
        <w:pStyle w:val="1"/>
        <w:rPr>
          <w:lang w:val="en-US"/>
        </w:rPr>
      </w:pPr>
      <w:r>
        <w:rPr>
          <w:lang w:val="en-US"/>
        </w:rPr>
        <w:t xml:space="preserve">Analysis reproducibility </w:t>
      </w:r>
    </w:p>
    <w:p w:rsidR="00611DF4" w:rsidRPr="00611DF4" w:rsidRDefault="00611DF4" w:rsidP="00611DF4">
      <w:pPr>
        <w:jc w:val="both"/>
        <w:rPr>
          <w:lang w:val="en-US"/>
        </w:rPr>
      </w:pPr>
      <w:r>
        <w:rPr>
          <w:lang w:val="en-US"/>
        </w:rPr>
        <w:t>The analysis code is stored publicly [4].</w:t>
      </w:r>
    </w:p>
    <w:p w:rsidR="004E2F20" w:rsidRDefault="004E2F20" w:rsidP="004E2F20">
      <w:pPr>
        <w:pStyle w:val="1"/>
        <w:rPr>
          <w:lang w:val="en-US"/>
        </w:rPr>
      </w:pPr>
      <w:r>
        <w:rPr>
          <w:lang w:val="en-US"/>
        </w:rPr>
        <w:lastRenderedPageBreak/>
        <w:t>Bibliography</w:t>
      </w:r>
    </w:p>
    <w:p w:rsidR="00A07B66" w:rsidRDefault="00A07B66" w:rsidP="00A07B66">
      <w:pPr>
        <w:pStyle w:val="a9"/>
        <w:numPr>
          <w:ilvl w:val="0"/>
          <w:numId w:val="1"/>
        </w:numPr>
        <w:rPr>
          <w:lang w:val="en-US"/>
        </w:rPr>
      </w:pPr>
      <w:r>
        <w:rPr>
          <w:lang w:val="en-US"/>
        </w:rPr>
        <w:t>GEANT</w:t>
      </w:r>
      <w:r w:rsidR="0065263F">
        <w:rPr>
          <w:lang w:val="en-US"/>
        </w:rPr>
        <w:t>-</w:t>
      </w:r>
      <w:r>
        <w:rPr>
          <w:lang w:val="en-US"/>
        </w:rPr>
        <w:t>4</w:t>
      </w:r>
      <w:r w:rsidR="0065263F">
        <w:rPr>
          <w:lang w:val="en-US"/>
        </w:rPr>
        <w:t xml:space="preserve">, </w:t>
      </w:r>
      <w:r w:rsidR="0065263F" w:rsidRPr="0065263F">
        <w:rPr>
          <w:lang w:val="en-US"/>
        </w:rPr>
        <w:t>Nuclear Instruments and Methods in Physics Research A 506 (2003) 250-303</w:t>
      </w:r>
      <w:r w:rsidR="0065263F">
        <w:rPr>
          <w:lang w:val="en-US"/>
        </w:rPr>
        <w:t>;</w:t>
      </w:r>
      <w:r w:rsidR="0065263F" w:rsidRPr="0065263F">
        <w:rPr>
          <w:lang w:val="en-US"/>
        </w:rPr>
        <w:t> IEEE Transactions on Nuclear Science 53 No. 1 (2006) 270-278</w:t>
      </w:r>
      <w:r w:rsidR="0065263F">
        <w:rPr>
          <w:lang w:val="en-US"/>
        </w:rPr>
        <w:t>;</w:t>
      </w:r>
      <w:r w:rsidR="0065263F" w:rsidRPr="0065263F">
        <w:rPr>
          <w:lang w:val="en-US"/>
        </w:rPr>
        <w:t xml:space="preserve"> Nuclear Instruments and Methods in Physics Research A 835 (2016) 186-225</w:t>
      </w:r>
      <w:r w:rsidR="0065263F">
        <w:rPr>
          <w:lang w:val="en-US"/>
        </w:rPr>
        <w:t>.</w:t>
      </w:r>
    </w:p>
    <w:p w:rsidR="00E05051" w:rsidRDefault="00A07B66" w:rsidP="00A07B66">
      <w:pPr>
        <w:pStyle w:val="a9"/>
        <w:numPr>
          <w:ilvl w:val="0"/>
          <w:numId w:val="1"/>
        </w:numPr>
        <w:rPr>
          <w:lang w:val="en-US"/>
        </w:rPr>
      </w:pPr>
      <w:r>
        <w:rPr>
          <w:lang w:val="en-US"/>
        </w:rPr>
        <w:t>E. </w:t>
      </w:r>
      <w:proofErr w:type="spellStart"/>
      <w:r>
        <w:rPr>
          <w:lang w:val="en-US"/>
        </w:rPr>
        <w:t>Matheison</w:t>
      </w:r>
      <w:proofErr w:type="spellEnd"/>
      <w:r>
        <w:rPr>
          <w:lang w:val="en-US"/>
        </w:rPr>
        <w:t xml:space="preserve">, J.S. Gordon, </w:t>
      </w:r>
      <w:proofErr w:type="spellStart"/>
      <w:r>
        <w:rPr>
          <w:lang w:val="en-US"/>
        </w:rPr>
        <w:t>Nucl</w:t>
      </w:r>
      <w:proofErr w:type="spellEnd"/>
      <w:r>
        <w:rPr>
          <w:lang w:val="en-US"/>
        </w:rPr>
        <w:t>. Inst. Meth. 227 (1984) 277-282</w:t>
      </w:r>
    </w:p>
    <w:p w:rsidR="00E05051" w:rsidRPr="00611DF4" w:rsidRDefault="0044302E" w:rsidP="00E05051">
      <w:pPr>
        <w:pStyle w:val="a9"/>
        <w:numPr>
          <w:ilvl w:val="0"/>
          <w:numId w:val="1"/>
        </w:numPr>
        <w:rPr>
          <w:rStyle w:val="aa"/>
          <w:color w:val="auto"/>
          <w:u w:val="none"/>
          <w:lang w:val="en-US"/>
        </w:rPr>
      </w:pPr>
      <w:hyperlink r:id="rId18" w:history="1">
        <w:r w:rsidR="00E05051" w:rsidRPr="00DA27F9">
          <w:rPr>
            <w:rStyle w:val="aa"/>
            <w:lang w:val="en-US"/>
          </w:rPr>
          <w:t>https://en.wikipedia.org/wiki/Ionization_energies_of_the_elements_(data_page)</w:t>
        </w:r>
      </w:hyperlink>
    </w:p>
    <w:p w:rsidR="00611DF4" w:rsidRDefault="00611DF4" w:rsidP="00611DF4">
      <w:pPr>
        <w:pStyle w:val="a9"/>
        <w:numPr>
          <w:ilvl w:val="0"/>
          <w:numId w:val="1"/>
        </w:numPr>
        <w:rPr>
          <w:lang w:val="en-US"/>
        </w:rPr>
      </w:pPr>
      <w:hyperlink r:id="rId19" w:history="1">
        <w:r w:rsidRPr="00D272D8">
          <w:rPr>
            <w:rStyle w:val="aa"/>
            <w:lang w:val="en-US"/>
          </w:rPr>
          <w:t>https://github.com/aleksha/G4-Models</w:t>
        </w:r>
      </w:hyperlink>
      <w:r>
        <w:rPr>
          <w:lang w:val="en-US"/>
        </w:rPr>
        <w:t xml:space="preserve"> </w:t>
      </w:r>
    </w:p>
    <w:p w:rsidR="00464B6F" w:rsidRPr="00734E17" w:rsidRDefault="00A07B66" w:rsidP="00285017">
      <w:pPr>
        <w:pStyle w:val="a9"/>
        <w:rPr>
          <w:lang w:val="en-US"/>
        </w:rPr>
      </w:pPr>
      <w:r>
        <w:rPr>
          <w:lang w:val="en-US"/>
        </w:rPr>
        <w:t xml:space="preserve"> </w:t>
      </w:r>
    </w:p>
    <w:sectPr w:rsidR="00464B6F" w:rsidRPr="00734E17">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02E" w:rsidRDefault="0044302E" w:rsidP="00B010A4">
      <w:pPr>
        <w:spacing w:after="0" w:line="240" w:lineRule="auto"/>
      </w:pPr>
      <w:r>
        <w:separator/>
      </w:r>
    </w:p>
  </w:endnote>
  <w:endnote w:type="continuationSeparator" w:id="0">
    <w:p w:rsidR="0044302E" w:rsidRDefault="0044302E" w:rsidP="00B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238082"/>
      <w:docPartObj>
        <w:docPartGallery w:val="Page Numbers (Bottom of Page)"/>
        <w:docPartUnique/>
      </w:docPartObj>
    </w:sdtPr>
    <w:sdtEndPr/>
    <w:sdtContent>
      <w:p w:rsidR="00B010A4" w:rsidRDefault="00B010A4">
        <w:pPr>
          <w:pStyle w:val="af"/>
          <w:jc w:val="right"/>
        </w:pPr>
        <w:r>
          <w:fldChar w:fldCharType="begin"/>
        </w:r>
        <w:r>
          <w:instrText>PAGE   \* MERGEFORMAT</w:instrText>
        </w:r>
        <w:r>
          <w:fldChar w:fldCharType="separate"/>
        </w:r>
        <w:r>
          <w:t>2</w:t>
        </w:r>
        <w:r>
          <w:fldChar w:fldCharType="end"/>
        </w:r>
      </w:p>
    </w:sdtContent>
  </w:sdt>
  <w:p w:rsidR="00B010A4" w:rsidRDefault="00B010A4">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02E" w:rsidRDefault="0044302E" w:rsidP="00B010A4">
      <w:pPr>
        <w:spacing w:after="0" w:line="240" w:lineRule="auto"/>
      </w:pPr>
      <w:r>
        <w:separator/>
      </w:r>
    </w:p>
  </w:footnote>
  <w:footnote w:type="continuationSeparator" w:id="0">
    <w:p w:rsidR="0044302E" w:rsidRDefault="0044302E" w:rsidP="00B0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04FF"/>
    <w:multiLevelType w:val="hybridMultilevel"/>
    <w:tmpl w:val="D8F27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2548DC"/>
    <w:multiLevelType w:val="hybridMultilevel"/>
    <w:tmpl w:val="DB341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D53719"/>
    <w:multiLevelType w:val="hybridMultilevel"/>
    <w:tmpl w:val="FE6AEC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C"/>
    <w:rsid w:val="0001150D"/>
    <w:rsid w:val="00052E87"/>
    <w:rsid w:val="00063A5F"/>
    <w:rsid w:val="00066CBF"/>
    <w:rsid w:val="00071A21"/>
    <w:rsid w:val="000965C1"/>
    <w:rsid w:val="000F6406"/>
    <w:rsid w:val="001360E5"/>
    <w:rsid w:val="00151490"/>
    <w:rsid w:val="00205E8C"/>
    <w:rsid w:val="002517D7"/>
    <w:rsid w:val="00261859"/>
    <w:rsid w:val="00270C84"/>
    <w:rsid w:val="00272ACC"/>
    <w:rsid w:val="00273FCF"/>
    <w:rsid w:val="00285017"/>
    <w:rsid w:val="00285364"/>
    <w:rsid w:val="002D4AE6"/>
    <w:rsid w:val="00314824"/>
    <w:rsid w:val="00334F1D"/>
    <w:rsid w:val="003665AA"/>
    <w:rsid w:val="00397D82"/>
    <w:rsid w:val="003C107B"/>
    <w:rsid w:val="003D3D36"/>
    <w:rsid w:val="003E00C8"/>
    <w:rsid w:val="00404A94"/>
    <w:rsid w:val="0044302E"/>
    <w:rsid w:val="00453E10"/>
    <w:rsid w:val="00464B6F"/>
    <w:rsid w:val="00497113"/>
    <w:rsid w:val="004C0B53"/>
    <w:rsid w:val="004C18A2"/>
    <w:rsid w:val="004D3087"/>
    <w:rsid w:val="004E10D3"/>
    <w:rsid w:val="004E2F20"/>
    <w:rsid w:val="00611DF4"/>
    <w:rsid w:val="006141CE"/>
    <w:rsid w:val="00622083"/>
    <w:rsid w:val="0065263F"/>
    <w:rsid w:val="00655BCA"/>
    <w:rsid w:val="00666D48"/>
    <w:rsid w:val="006D7D46"/>
    <w:rsid w:val="006F523C"/>
    <w:rsid w:val="00720AA1"/>
    <w:rsid w:val="00725BEC"/>
    <w:rsid w:val="00734E17"/>
    <w:rsid w:val="00762FF8"/>
    <w:rsid w:val="007C27F6"/>
    <w:rsid w:val="007D0B65"/>
    <w:rsid w:val="00826DFF"/>
    <w:rsid w:val="00851373"/>
    <w:rsid w:val="00860279"/>
    <w:rsid w:val="00870A25"/>
    <w:rsid w:val="00875AB7"/>
    <w:rsid w:val="008811D9"/>
    <w:rsid w:val="00884A6B"/>
    <w:rsid w:val="0089069A"/>
    <w:rsid w:val="008F2541"/>
    <w:rsid w:val="008F5D46"/>
    <w:rsid w:val="00922BC4"/>
    <w:rsid w:val="00941D6D"/>
    <w:rsid w:val="00983BD6"/>
    <w:rsid w:val="0099099B"/>
    <w:rsid w:val="00992668"/>
    <w:rsid w:val="00996B33"/>
    <w:rsid w:val="009B189E"/>
    <w:rsid w:val="009C52FC"/>
    <w:rsid w:val="009D55B6"/>
    <w:rsid w:val="009F2C68"/>
    <w:rsid w:val="00A07B66"/>
    <w:rsid w:val="00A10F8E"/>
    <w:rsid w:val="00A13E42"/>
    <w:rsid w:val="00A3187C"/>
    <w:rsid w:val="00A518A6"/>
    <w:rsid w:val="00A56845"/>
    <w:rsid w:val="00A80BB4"/>
    <w:rsid w:val="00B010A4"/>
    <w:rsid w:val="00B06DF1"/>
    <w:rsid w:val="00B36763"/>
    <w:rsid w:val="00B908D1"/>
    <w:rsid w:val="00BE5DF3"/>
    <w:rsid w:val="00BF5764"/>
    <w:rsid w:val="00BF6C7A"/>
    <w:rsid w:val="00C82EE5"/>
    <w:rsid w:val="00CA4B87"/>
    <w:rsid w:val="00CD1E76"/>
    <w:rsid w:val="00CE59FC"/>
    <w:rsid w:val="00CF2257"/>
    <w:rsid w:val="00D00C05"/>
    <w:rsid w:val="00D26D05"/>
    <w:rsid w:val="00D71A17"/>
    <w:rsid w:val="00E05051"/>
    <w:rsid w:val="00E7555C"/>
    <w:rsid w:val="00EA08F2"/>
    <w:rsid w:val="00EA66C7"/>
    <w:rsid w:val="00EC048B"/>
    <w:rsid w:val="00EF2CDB"/>
    <w:rsid w:val="00EF6EF2"/>
    <w:rsid w:val="00F52262"/>
    <w:rsid w:val="00FC67D6"/>
    <w:rsid w:val="00FD0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9705"/>
  <w15:chartTrackingRefBased/>
  <w15:docId w15:val="{65E8D6EC-83D9-4E28-A760-2F5BFFCD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64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2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2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72A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2ACC"/>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272ACC"/>
    <w:rPr>
      <w:rFonts w:eastAsiaTheme="minorEastAsia"/>
      <w:color w:val="5A5A5A" w:themeColor="text1" w:themeTint="A5"/>
      <w:spacing w:val="15"/>
    </w:rPr>
  </w:style>
  <w:style w:type="character" w:styleId="a7">
    <w:name w:val="Book Title"/>
    <w:basedOn w:val="a0"/>
    <w:uiPriority w:val="33"/>
    <w:qFormat/>
    <w:rsid w:val="00464B6F"/>
    <w:rPr>
      <w:b/>
      <w:bCs/>
      <w:i/>
      <w:iCs/>
      <w:spacing w:val="5"/>
    </w:rPr>
  </w:style>
  <w:style w:type="character" w:styleId="a8">
    <w:name w:val="Strong"/>
    <w:basedOn w:val="a0"/>
    <w:uiPriority w:val="22"/>
    <w:qFormat/>
    <w:rsid w:val="00464B6F"/>
    <w:rPr>
      <w:b/>
      <w:bCs/>
    </w:rPr>
  </w:style>
  <w:style w:type="character" w:customStyle="1" w:styleId="10">
    <w:name w:val="Заголовок 1 Знак"/>
    <w:basedOn w:val="a0"/>
    <w:link w:val="1"/>
    <w:uiPriority w:val="9"/>
    <w:rsid w:val="00464B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E2F2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A07B66"/>
    <w:pPr>
      <w:ind w:left="720"/>
      <w:contextualSpacing/>
    </w:pPr>
  </w:style>
  <w:style w:type="character" w:styleId="aa">
    <w:name w:val="Hyperlink"/>
    <w:basedOn w:val="a0"/>
    <w:uiPriority w:val="99"/>
    <w:unhideWhenUsed/>
    <w:rsid w:val="00E05051"/>
    <w:rPr>
      <w:color w:val="0563C1" w:themeColor="hyperlink"/>
      <w:u w:val="single"/>
    </w:rPr>
  </w:style>
  <w:style w:type="character" w:styleId="ab">
    <w:name w:val="Unresolved Mention"/>
    <w:basedOn w:val="a0"/>
    <w:uiPriority w:val="99"/>
    <w:semiHidden/>
    <w:unhideWhenUsed/>
    <w:rsid w:val="00E05051"/>
    <w:rPr>
      <w:color w:val="605E5C"/>
      <w:shd w:val="clear" w:color="auto" w:fill="E1DFDD"/>
    </w:rPr>
  </w:style>
  <w:style w:type="table" w:styleId="ac">
    <w:name w:val="Table Grid"/>
    <w:basedOn w:val="a1"/>
    <w:uiPriority w:val="39"/>
    <w:rsid w:val="0006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B010A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B010A4"/>
  </w:style>
  <w:style w:type="paragraph" w:styleId="af">
    <w:name w:val="footer"/>
    <w:basedOn w:val="a"/>
    <w:link w:val="af0"/>
    <w:uiPriority w:val="99"/>
    <w:unhideWhenUsed/>
    <w:rsid w:val="00B010A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Ionization_energies_of_the_elements_(data_pag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aleksha/G4-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6</Pages>
  <Words>1250</Words>
  <Characters>7127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Dziuba</dc:creator>
  <cp:keywords/>
  <dc:description/>
  <cp:lastModifiedBy>Aleksei Dziuba</cp:lastModifiedBy>
  <cp:revision>61</cp:revision>
  <dcterms:created xsi:type="dcterms:W3CDTF">2018-07-04T05:58:00Z</dcterms:created>
  <dcterms:modified xsi:type="dcterms:W3CDTF">2018-07-18T10:58:00Z</dcterms:modified>
</cp:coreProperties>
</file>